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2B63291" w:rsidR="00093CA9" w:rsidRDefault="00E90467"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4F47D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43C4E80" w14:textId="77777777" w:rsidR="00CE2140" w:rsidRDefault="00CE2140" w:rsidP="00CE2140">
            <w:r>
              <w:t xml:space="preserve">Law 1931 of 2018 “Establishing the guidelines for climate change management in Colombia.” </w:t>
            </w:r>
          </w:p>
          <w:p w14:paraId="289C6E00" w14:textId="77777777" w:rsidR="00CE2140" w:rsidRDefault="00CE2140" w:rsidP="00CE2140"/>
          <w:p w14:paraId="313A697B" w14:textId="1434C640" w:rsidR="00093CA9" w:rsidRPr="004F47D8" w:rsidRDefault="00CE2140" w:rsidP="00CE2140">
            <w:pPr>
              <w:rPr>
                <w:lang w:val="es-ES"/>
              </w:rPr>
            </w:pPr>
            <w:r w:rsidRPr="004F47D8">
              <w:rPr>
                <w:lang w:val="es-ES"/>
              </w:rPr>
              <w:t>Ley 1931 de 2018 “Por la cual se establecen las directrices para la gestión del cambio climático en Colombia”.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46AD233" w:rsidR="00093CA9" w:rsidRDefault="002116D5" w:rsidP="00093CA9">
            <w:hyperlink r:id="rId18" w:history="1">
              <w:r w:rsidRPr="00F425F2">
                <w:rPr>
                  <w:rStyle w:val="Hipervnculo"/>
                </w:rPr>
                <w:t>https://web.archive.org/web/20250711164218/https://www.minambiente.gov.co/wp-content/uploads/2021/06/ley-1931-2018.pdf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6523F6F" w:rsidR="00093CA9" w:rsidRDefault="009865C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CB5004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7A862B8" w:rsidR="00093CA9" w:rsidRDefault="00CE214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C32AB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D1E5822" w14:textId="77777777" w:rsidR="004F47D8" w:rsidRPr="004F47D8" w:rsidRDefault="004F47D8" w:rsidP="004F47D8">
            <w:pPr>
              <w:rPr>
                <w:lang w:val="en-US"/>
              </w:rPr>
            </w:pPr>
            <w:r w:rsidRPr="004F47D8">
              <w:rPr>
                <w:lang w:val="en-US"/>
              </w:rPr>
              <w:t>Colombia’s Law 1931 of 2018 introduces several policy tools relevant to climate-related disclosure, transition planning, carbon credits, and methane abatement. In the domain of climate-related disclosure, the law establishes the </w:t>
            </w:r>
            <w:r w:rsidRPr="004F47D8">
              <w:rPr>
                <w:i/>
                <w:iCs/>
                <w:lang w:val="en-US"/>
              </w:rPr>
              <w:t>Sistema Nacional de Información sobre Cambio Climático</w:t>
            </w:r>
            <w:r w:rsidRPr="004F47D8">
              <w:rPr>
                <w:lang w:val="en-US"/>
              </w:rPr>
              <w:t> (National Climate Change Information System), which includes the </w:t>
            </w:r>
            <w:r w:rsidRPr="004F47D8">
              <w:rPr>
                <w:i/>
                <w:iCs/>
                <w:lang w:val="en-US"/>
              </w:rPr>
              <w:t>Registro Nacional de Reducción de las Emisiones de Gases de Efecto Invernadero</w:t>
            </w:r>
            <w:r w:rsidRPr="004F47D8">
              <w:rPr>
                <w:lang w:val="en-US"/>
              </w:rPr>
              <w:t> (RENARE). These instruments require public and private entities to report data on emissions and mitigation initiatives. While they do not mandate specific actions beyond reporting, they provide a structured framework for transparency and accountability, supporting Colombia’s international commitments under the UNFCCC.</w:t>
            </w:r>
          </w:p>
          <w:p w14:paraId="6027B716" w14:textId="77777777" w:rsidR="004F47D8" w:rsidRPr="004F47D8" w:rsidRDefault="004F47D8" w:rsidP="004F47D8">
            <w:pPr>
              <w:rPr>
                <w:lang w:val="en-US"/>
              </w:rPr>
            </w:pPr>
            <w:r w:rsidRPr="004F47D8">
              <w:rPr>
                <w:lang w:val="en-US"/>
              </w:rPr>
              <w:t>In the area of transition planning, the law mandates the development of </w:t>
            </w:r>
            <w:r w:rsidRPr="004F47D8">
              <w:rPr>
                <w:i/>
                <w:iCs/>
                <w:lang w:val="en-US"/>
              </w:rPr>
              <w:t>Planes Integrales de Gestión del Cambio Climático Sectoriales y Territoriales</w:t>
            </w:r>
            <w:r w:rsidRPr="004F47D8">
              <w:rPr>
                <w:lang w:val="en-US"/>
              </w:rPr>
              <w:t> (PIGCCS and PIGCCT). These plans require ministries and territorial entities to identify, evaluate, and implement mitigation and adaptation measures aligned with national climate goals. Although these tools go beyond disclosure by requiring the formulation and implementation of decarbonization strategies, they also include reporting components that track progress and inform policy adjustments. The plans are reviewed periodically and are integrated into broader development and land-use planning instruments.</w:t>
            </w:r>
          </w:p>
          <w:p w14:paraId="6EA7C3AC" w14:textId="77777777" w:rsidR="004F47D8" w:rsidRPr="004F47D8" w:rsidRDefault="004F47D8" w:rsidP="004F47D8">
            <w:pPr>
              <w:rPr>
                <w:lang w:val="en-US"/>
              </w:rPr>
            </w:pPr>
            <w:r w:rsidRPr="004F47D8">
              <w:rPr>
                <w:lang w:val="en-US"/>
              </w:rPr>
              <w:t>Regarding carbon credits, Law 1931 creates the </w:t>
            </w:r>
            <w:r w:rsidRPr="004F47D8">
              <w:rPr>
                <w:i/>
                <w:iCs/>
                <w:lang w:val="en-US"/>
              </w:rPr>
              <w:t>Programa Nacional de Cupos Transables de Emisión de Gases de Efecto Invernadero</w:t>
            </w:r>
            <w:r w:rsidRPr="004F47D8">
              <w:rPr>
                <w:lang w:val="en-US"/>
              </w:rPr>
              <w:t> (PNCTE), which governs the issuance, trading, and redemption of emission allowances. This program includes mechanisms for verifying and certifying emissions reductions and removals, which are then recorded in RENARE. While the law does not directly address methane abatement, it includes general provisions for GHG mitigation that encompass methane as one of the regulated gases. These provisions lay the groundwork for future regulations or programs specifically targeting methane emissions from agriculture and fossil fuels.</w:t>
            </w:r>
          </w:p>
          <w:p w14:paraId="18257824" w14:textId="2CD2F9E9" w:rsidR="00093CA9" w:rsidRPr="004F47D8"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5E1F69F" w:rsidR="00093CA9" w:rsidRDefault="004F47D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17AC429" w:rsidR="00093CA9" w:rsidRPr="00173D7C" w:rsidRDefault="004F47D8"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4D09780" w:rsidR="00093CA9" w:rsidRPr="00173D7C" w:rsidRDefault="004F47D8"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9908919" w:rsidR="00093CA9" w:rsidRPr="004F47D8" w:rsidRDefault="004F47D8" w:rsidP="00093CA9">
            <w:r w:rsidRPr="004F47D8">
              <w:t>The policy tools established under Law 1931 of 2018 are authored and issued by the Government of Colombia, specifically through legislative action by the Congress of the Republic. The law delegates implementation and regulatory authority to various national government entities, most notably the Ministry of Environment and Sustainable Development, which plays a central role in coordinating climate policy, managing emissions registries, and overseeing disclosure systems.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B4C27B" w:rsidR="00093CA9" w:rsidRPr="006B7B0D" w:rsidRDefault="004F47D8" w:rsidP="00093CA9">
            <w:r w:rsidRPr="004F47D8">
              <w:t>Ministry of Environment and Sustainable Development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A95B0FD" w:rsidR="00093CA9" w:rsidRPr="006B7B0D" w:rsidRDefault="004F47D8"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D245660" w:rsidR="00093CA9" w:rsidRPr="008017F9" w:rsidRDefault="004F47D8" w:rsidP="00093CA9">
            <w:pPr>
              <w:keepNext/>
              <w:rPr>
                <w:color w:val="000000" w:themeColor="text1"/>
              </w:rPr>
            </w:pPr>
            <w:r w:rsidRPr="004F47D8">
              <w:rPr>
                <w:color w:val="000000" w:themeColor="text1"/>
              </w:rPr>
              <w:t>Law 1931 of 2018 establishes multiple monitoring systems to oversee the implementation and enforcement of its climate policy tools. These include periodic reporting requirements such as the submission of annual progress reports on sectoral climate plans (PIGCCS), updates to national contributions under the UNFCCC, and the operation of the </w:t>
            </w:r>
            <w:r w:rsidRPr="004F47D8">
              <w:rPr>
                <w:i/>
                <w:iCs/>
                <w:color w:val="000000" w:themeColor="text1"/>
              </w:rPr>
              <w:t>Sistema Nacional de Información sobre Cambio Climático</w:t>
            </w:r>
            <w:r w:rsidRPr="004F47D8">
              <w:rPr>
                <w:color w:val="000000" w:themeColor="text1"/>
              </w:rPr>
              <w:t> (SNICC), which provides transparent and consistent data over time. The law also mandates the use of open registries like RENARE for tracking verified emissions reductions, and requires public reporting to Congress on national progress toward climate goals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0106C271" w:rsidR="00CF5268" w:rsidRDefault="004F47D8"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B7270A" w:rsidR="00CF5268" w:rsidRDefault="004F47D8"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5A3B693C" w:rsidR="00CF5268" w:rsidRDefault="004F47D8"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44EFB1E3" w:rsidR="00CF5268" w:rsidRDefault="004F47D8"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808403A" w:rsidR="00CF5268" w:rsidRDefault="004F47D8"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6846574B" w:rsidR="466E435B" w:rsidRDefault="004F47D8"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2BF77B1" w:rsidR="00CF5268" w:rsidRDefault="004F47D8"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2CF729F3" w:rsidR="466E435B" w:rsidRDefault="004F47D8"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6344D8A1" w:rsidR="466E435B" w:rsidRDefault="004F47D8"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11371E1" w:rsidR="466E435B" w:rsidRDefault="004F47D8"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EA8FF45" w:rsidR="466E435B" w:rsidRDefault="004F47D8"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47D3ADEA" w:rsidR="00CF5268" w:rsidRDefault="004F47D8"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075916" w:rsidR="004B2D74" w:rsidRDefault="004F47D8"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38B313B5" w:rsidR="004B2D74" w:rsidRDefault="004F47D8"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0B290175" w:rsidR="004B2D74" w:rsidRDefault="004F47D8"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CB25611" w:rsidR="004B2D74" w:rsidRDefault="004F47D8"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28E18C9B" w:rsidR="004B2D74" w:rsidRDefault="004F47D8"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FDBD65F" w:rsidR="004B2D74" w:rsidRDefault="004F47D8"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5CED32C5" w:rsidR="00B536E6" w:rsidRDefault="0053405F"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35A8A3B6" w:rsidR="00B536E6" w:rsidRDefault="0053405F"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413D2409" w:rsidR="00B536E6" w:rsidRDefault="0053405F"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6003FE0" w:rsidR="00B536E6" w:rsidRDefault="0053405F"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5736E19" w:rsidR="00B536E6" w:rsidRDefault="0053405F"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3C8CA447" w:rsidR="00B536E6" w:rsidRDefault="0053405F"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048CDEB6" w:rsidR="00B536E6" w:rsidRDefault="0053405F" w:rsidP="00DD3144">
            <w:r>
              <w:t>X</w:t>
            </w:r>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2F039B55" w:rsidR="00B536E6" w:rsidRDefault="0053405F"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0D685D7" w:rsidR="00B536E6" w:rsidRDefault="0053405F"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00D971C9" w:rsidR="00B536E6" w:rsidRDefault="0053405F" w:rsidP="00DD3144">
            <w:r>
              <w:t>x</w:t>
            </w:r>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22354DFA" w:rsidR="00B536E6" w:rsidRDefault="0053405F"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5657D2B7" w:rsidR="00B536E6" w:rsidRDefault="0053405F" w:rsidP="00DD3144">
            <w:r>
              <w:t>X</w:t>
            </w:r>
          </w:p>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6AF3E16E" w:rsidR="00B536E6" w:rsidRDefault="0053405F" w:rsidP="00DD3144">
            <w:r>
              <w:t>X</w:t>
            </w:r>
          </w:p>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3AAAAAD2" w:rsidR="00B536E6" w:rsidRDefault="0053405F" w:rsidP="00DD3144">
            <w:r>
              <w:t>X</w:t>
            </w:r>
          </w:p>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665F0DEF" w:rsidR="00B536E6" w:rsidRDefault="0053405F"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77E3DAF9" w:rsidR="00B536E6" w:rsidRDefault="0053405F"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2966CF7C" w:rsidR="00B536E6" w:rsidRDefault="0053405F"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4CFE9E9F" w:rsidR="00B536E6" w:rsidRDefault="0053405F" w:rsidP="00DD3144">
            <w:r>
              <w:t>X</w:t>
            </w:r>
          </w:p>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B2ED4A" w:rsidR="00B536E6" w:rsidRDefault="0053405F" w:rsidP="00DD3144">
            <w:r>
              <w:t>X</w:t>
            </w:r>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B5E1B8E" w:rsidR="00B536E6" w:rsidRDefault="0053405F"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606CDBAF" w:rsidR="00B536E6" w:rsidRDefault="0053405F"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159B13" w14:textId="77777777" w:rsidR="0053405F" w:rsidRPr="0053405F" w:rsidRDefault="0053405F" w:rsidP="0053405F">
            <w:pPr>
              <w:rPr>
                <w:lang w:val="en-US"/>
              </w:rPr>
            </w:pPr>
            <w:r w:rsidRPr="0053405F">
              <w:rPr>
                <w:lang w:val="en-US"/>
              </w:rPr>
              <w:t>Yes, duties under Law 1931 of 2018 vary across targeted entities, particularly in terms of the level of responsibility and the type of climate-related actions required.</w:t>
            </w:r>
          </w:p>
          <w:p w14:paraId="11EAE319" w14:textId="77777777" w:rsidR="0053405F" w:rsidRPr="0053405F" w:rsidRDefault="0053405F" w:rsidP="0053405F">
            <w:pPr>
              <w:rPr>
                <w:lang w:val="en-US"/>
              </w:rPr>
            </w:pPr>
            <w:r w:rsidRPr="0053405F">
              <w:rPr>
                <w:lang w:val="en-US"/>
              </w:rPr>
              <w:t>National ministries are required to formulate and implement </w:t>
            </w:r>
            <w:r w:rsidRPr="0053405F">
              <w:rPr>
                <w:i/>
                <w:iCs/>
                <w:lang w:val="en-US"/>
              </w:rPr>
              <w:t>Planes Integrales de Gestión del Cambio Climático Sectoriales (PIGCCS)</w:t>
            </w:r>
            <w:r w:rsidRPr="0053405F">
              <w:rPr>
                <w:lang w:val="en-US"/>
              </w:rPr>
              <w:t>, which include sector-specific mitigation and adaptation measures. These plans must align with national climate goals and be reported annually to Congress (Article 7).</w:t>
            </w:r>
          </w:p>
          <w:p w14:paraId="7B16FC97" w14:textId="77777777" w:rsidR="0053405F" w:rsidRPr="0053405F" w:rsidRDefault="0053405F" w:rsidP="0053405F">
            <w:pPr>
              <w:rPr>
                <w:lang w:val="en-US"/>
              </w:rPr>
            </w:pPr>
            <w:r w:rsidRPr="0053405F">
              <w:rPr>
                <w:lang w:val="en-US"/>
              </w:rPr>
              <w:t>Departments (regional governments) must develop </w:t>
            </w:r>
            <w:r w:rsidRPr="0053405F">
              <w:rPr>
                <w:i/>
                <w:iCs/>
                <w:lang w:val="en-US"/>
              </w:rPr>
              <w:t>Planes Integrales de Gestión del Cambio Climático Territoriales (PIGCCT)</w:t>
            </w:r>
            <w:r w:rsidRPr="0053405F">
              <w:rPr>
                <w:lang w:val="en-US"/>
              </w:rPr>
              <w:t> in coordination with regional environmental authorities. They are also responsible for implementing mitigation measures in key sectors such as transport, agriculture, energy, housing, and tourism (Article 8, Paragraph 2).</w:t>
            </w:r>
          </w:p>
          <w:p w14:paraId="3BE51AC7" w14:textId="77777777" w:rsidR="0053405F" w:rsidRPr="0053405F" w:rsidRDefault="0053405F" w:rsidP="0053405F">
            <w:pPr>
              <w:rPr>
                <w:lang w:val="en-US"/>
              </w:rPr>
            </w:pPr>
            <w:r w:rsidRPr="0053405F">
              <w:rPr>
                <w:lang w:val="en-US"/>
              </w:rPr>
              <w:t xml:space="preserve">Municipalities and districts are required to align their development and land-use plans with both the PIGCCS and PIGCCT. They must also implement mitigation and adaptation measures </w:t>
            </w:r>
            <w:r w:rsidRPr="0053405F">
              <w:rPr>
                <w:lang w:val="en-US"/>
              </w:rPr>
              <w:lastRenderedPageBreak/>
              <w:t>within their jurisdiction, particularly in the same sectors as departments (Article 9, Paragraph 1).</w:t>
            </w:r>
          </w:p>
          <w:p w14:paraId="5F4109C0" w14:textId="77777777" w:rsidR="0053405F" w:rsidRPr="0053405F" w:rsidRDefault="0053405F" w:rsidP="0053405F">
            <w:pPr>
              <w:rPr>
                <w:lang w:val="en-US"/>
              </w:rPr>
            </w:pPr>
            <w:r w:rsidRPr="0053405F">
              <w:rPr>
                <w:lang w:val="en-US"/>
              </w:rPr>
              <w:t>These differentiated responsibilities reflect the multi-level governance structure of Colombia’s climate policy, ensuring that each level of government and sectoral actor contributes according to its competencies and jurisdiction.</w:t>
            </w:r>
          </w:p>
          <w:p w14:paraId="020308A1" w14:textId="77777777" w:rsidR="0039223F" w:rsidRPr="0053405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1B6F07AD" w:rsidR="00524D54" w:rsidRPr="003577A4" w:rsidRDefault="0053405F" w:rsidP="00DD3144">
            <w:r w:rsidRPr="0053405F">
              <w:t>Not specified</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32BF567A" w:rsidR="00524D54" w:rsidRPr="003577A4" w:rsidRDefault="0053405F" w:rsidP="00DD3144">
            <w:r w:rsidRPr="0053405F">
              <w:t>Not specified</w:t>
            </w:r>
          </w:p>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F5DA779" w:rsidR="00524D54" w:rsidRPr="00630D85" w:rsidRDefault="0053405F" w:rsidP="00DD3144">
            <w:pPr>
              <w:rPr>
                <w:lang w:val="sv-SE"/>
              </w:rPr>
            </w:pPr>
            <w:r w:rsidRPr="0053405F">
              <w:t>Not specified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5F64779B" w:rsidR="00524D54" w:rsidRPr="003577A4" w:rsidRDefault="0053405F" w:rsidP="00DD3144">
            <w:r w:rsidRPr="0053405F">
              <w:t>Not specified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1F4E3B4D" w:rsidR="00524D54" w:rsidRPr="003577A4" w:rsidRDefault="0053405F" w:rsidP="00DD3144">
            <w:r w:rsidRPr="0053405F">
              <w:t>The law applies to all public and private entities operating within Colombia, particularly those involved in national, departmental, district, and municipal governance, as well as sectoral ministries and environmental authorities.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3200AFC" w:rsidR="00576ED8" w:rsidRDefault="0053405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2B7EB41" w:rsidR="00911F20" w:rsidRDefault="0053405F"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lastRenderedPageBreak/>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15430E57" w14:textId="70CA5C4E" w:rsidR="0053405F" w:rsidRPr="0053405F" w:rsidRDefault="0053405F" w:rsidP="0053405F">
            <w:pPr>
              <w:rPr>
                <w:lang w:val="en-US"/>
              </w:rPr>
            </w:pPr>
            <w:r w:rsidRPr="0053405F">
              <w:rPr>
                <w:lang w:val="en-US"/>
              </w:rPr>
              <w:t>Law 1931 of 2018 establishes monetary fines as the primary sanction for non-compliance with obligations related to emissions reporting and participation in the carbon market. Specifically, Article 32 of the law.</w:t>
            </w:r>
          </w:p>
          <w:p w14:paraId="6A4B601C" w14:textId="77777777" w:rsidR="0053405F" w:rsidRPr="0053405F" w:rsidRDefault="0053405F" w:rsidP="0053405F">
            <w:pPr>
              <w:rPr>
                <w:lang w:val="en-US"/>
              </w:rPr>
            </w:pPr>
            <w:r w:rsidRPr="0053405F">
              <w:rPr>
                <w:lang w:val="en-US"/>
              </w:rPr>
              <w:t>This means that regulated entities that fail to comply with emissions reporting or quota obligations under the </w:t>
            </w:r>
            <w:r w:rsidRPr="0053405F">
              <w:rPr>
                <w:i/>
                <w:iCs/>
                <w:lang w:val="en-US"/>
              </w:rPr>
              <w:t>Programa Nacional de Cupos Transables de Emisión de Gases de Efecto Invernadero (PNCTE)</w:t>
            </w:r>
            <w:r w:rsidRPr="0053405F">
              <w:rPr>
                <w:lang w:val="en-US"/>
              </w:rPr>
              <w:t> may be fined up to twice the market value of their unreported or unbacked emissions, based on the most recent auction price.</w:t>
            </w:r>
          </w:p>
          <w:p w14:paraId="68B2FEE4" w14:textId="77777777" w:rsidR="0053405F" w:rsidRPr="0053405F" w:rsidRDefault="0053405F" w:rsidP="0053405F">
            <w:pPr>
              <w:rPr>
                <w:lang w:val="en-US"/>
              </w:rPr>
            </w:pPr>
            <w:r w:rsidRPr="0053405F">
              <w:rPr>
                <w:lang w:val="en-US"/>
              </w:rPr>
              <w:t>The same article also clarifies that the Ministry will define the criteria for calculating and applying these fines, and that the sanctioning process will follow the procedures established in Article 50 of Law 1437 of 2011, or any law that replaces it. There are no provisions for criminal penalties, exclusion from contracts, or penalties for senior managers.</w:t>
            </w:r>
          </w:p>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9A51DD3" w:rsidR="00C57511" w:rsidRPr="00FA0CF8" w:rsidRDefault="00413DCB"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052FFCD4" w14:textId="77777777" w:rsidR="00413DCB" w:rsidRPr="00413DCB" w:rsidRDefault="00413DCB" w:rsidP="00413DCB">
            <w:pPr>
              <w:spacing w:line="276" w:lineRule="auto"/>
              <w:rPr>
                <w:color w:val="000000" w:themeColor="text1"/>
                <w:lang w:val="en-US"/>
              </w:rPr>
            </w:pPr>
            <w:r w:rsidRPr="00413DCB">
              <w:rPr>
                <w:color w:val="000000" w:themeColor="text1"/>
                <w:lang w:val="en-US"/>
              </w:rPr>
              <w:t>There is clear evidence that the voluntary components of Law 1931 of 2018 are being implemented. The law mandates the creation of systems and instruments such as the </w:t>
            </w:r>
            <w:r w:rsidRPr="00413DCB">
              <w:rPr>
                <w:i/>
                <w:iCs/>
                <w:color w:val="000000" w:themeColor="text1"/>
                <w:lang w:val="en-US"/>
              </w:rPr>
              <w:t>Sistema Nacional de Información sobre Cambio Climático</w:t>
            </w:r>
            <w:r w:rsidRPr="00413DCB">
              <w:rPr>
                <w:color w:val="000000" w:themeColor="text1"/>
                <w:lang w:val="en-US"/>
              </w:rPr>
              <w:t> (SNICC) and the </w:t>
            </w:r>
            <w:r w:rsidRPr="00413DCB">
              <w:rPr>
                <w:i/>
                <w:iCs/>
                <w:color w:val="000000" w:themeColor="text1"/>
                <w:lang w:val="en-US"/>
              </w:rPr>
              <w:t>Registro Nacional de Reducción de las Emisiones de Gases de Efecto Invernadero</w:t>
            </w:r>
            <w:r w:rsidRPr="00413DCB">
              <w:rPr>
                <w:color w:val="000000" w:themeColor="text1"/>
                <w:lang w:val="en-US"/>
              </w:rPr>
              <w:t> (RENARE), which are designed to support voluntary and mandatory reporting of emissions and mitigation actions. These systems are operational and managed by IDEAM under the coordination of the Ministry of Environment and Sustainable Development.</w:t>
            </w:r>
          </w:p>
          <w:p w14:paraId="1D030EAF" w14:textId="77777777" w:rsidR="00413DCB" w:rsidRPr="00413DCB" w:rsidRDefault="00413DCB" w:rsidP="00413DCB">
            <w:pPr>
              <w:spacing w:line="276" w:lineRule="auto"/>
              <w:rPr>
                <w:color w:val="000000" w:themeColor="text1"/>
                <w:lang w:val="en-US"/>
              </w:rPr>
            </w:pPr>
            <w:r w:rsidRPr="00413DCB">
              <w:rPr>
                <w:color w:val="000000" w:themeColor="text1"/>
                <w:lang w:val="en-US"/>
              </w:rPr>
              <w:t>Additionally, the law outlines the development of sectoral and territorial climate plans (PIGCCS and PIGCCT), many of which have been initiated or are in progress across various ministries and departments. The law also provides for the allocation of funding through mechanisms like the Fondo Nacional Ambiental (FONAM) and the General System of Royalties, which earmarks 1% for climate-related research and innovation projects. These provisions demonstrate active follow-up and institutional commitment to implementation.</w:t>
            </w:r>
          </w:p>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D0A5012" w:rsidR="00CB1649" w:rsidRPr="00FA0CF8" w:rsidRDefault="00413DCB"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B69CB15" w:rsidR="00BE0825" w:rsidRPr="00413DCB" w:rsidRDefault="00413DCB" w:rsidP="00413DCB">
            <w:pPr>
              <w:spacing w:line="276" w:lineRule="auto"/>
              <w:rPr>
                <w:color w:val="000000" w:themeColor="text1"/>
                <w:lang w:val="en-US"/>
              </w:rPr>
            </w:pPr>
            <w:r w:rsidRPr="00413DCB">
              <w:rPr>
                <w:color w:val="000000" w:themeColor="text1"/>
                <w:lang w:val="en-US"/>
              </w:rPr>
              <w:t>As of now, there is no publicly available evidence that the mandatory provisions of Law 1931 of 2018—such as emissions reporting obligations or participation in the carbon market—have resulted in regulatory disputes, sanctions, or penalties for non-compliance. A review of legal and regulatory sources, including recent web searches, did not yield any documented enforcement cases or publicized fines issued under this law.</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40D0393" w:rsidR="008063B5" w:rsidRDefault="00413DC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13EA35E" w:rsidR="00042406" w:rsidRDefault="00413DCB"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2EC6A23F" w:rsidR="00042406" w:rsidRDefault="00413DCB"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69F25E2" w:rsidR="00042406" w:rsidRDefault="00413DCB"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4E54D6F8" w:rsidR="00042406" w:rsidRDefault="00413DCB"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B9D70C0" w:rsidR="00042406" w:rsidRDefault="00413DCB"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25B7D74" w:rsidR="00042406" w:rsidRDefault="00413DCB"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2AAA9824" w:rsidR="00042406" w:rsidRDefault="00413DCB"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51BC7C2" w:rsidR="00931F08" w:rsidRDefault="00413DCB" w:rsidP="00DD3144">
            <w:r w:rsidRPr="00413DCB">
              <w:t>The entities required to disclose GHG emissions and removals (e.g., those participating in RENARE or the carbon market) are a subset of the broader group of entities encouraged to engage in climate planning. While ministries, departments, and municipalities are mandated to develop climate plans, private sector actors—unless regulated under emissions trading or reporting schemes—are generally encouraged but not required to disclose targets or risks.</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61B19F31" w14:textId="77777777" w:rsidR="00413DCB" w:rsidRPr="00413DCB" w:rsidRDefault="00413DCB" w:rsidP="00413DCB">
            <w:pPr>
              <w:rPr>
                <w:lang w:val="en-US"/>
              </w:rPr>
            </w:pPr>
            <w:r w:rsidRPr="00413DCB">
              <w:rPr>
                <w:lang w:val="en-US"/>
              </w:rPr>
              <w:t>Yes, the entities required to disclose greenhouse gas (GHG) emissions offsets or removals under Law 1931 of 2018 differ from the broader group of entities identified in Q1.1. While ministries, departments, municipalities, and other public entities are mandated to develop climate plans and integrate climate considerations into their policies, the obligation to disclose verified GHG offsets or removals is more narrowly applied to entities participating in Colombia’s carbon market mechanisms.</w:t>
            </w:r>
          </w:p>
          <w:p w14:paraId="7634F4B6" w14:textId="77777777" w:rsidR="00413DCB" w:rsidRPr="00413DCB" w:rsidRDefault="00413DCB" w:rsidP="00413DCB">
            <w:pPr>
              <w:rPr>
                <w:lang w:val="en-US"/>
              </w:rPr>
            </w:pPr>
            <w:r w:rsidRPr="00413DCB">
              <w:rPr>
                <w:lang w:val="en-US"/>
              </w:rPr>
              <w:t>Specifically, Article 30 of the law establishes the </w:t>
            </w:r>
            <w:r w:rsidRPr="00413DCB">
              <w:rPr>
                <w:i/>
                <w:iCs/>
                <w:lang w:val="en-US"/>
              </w:rPr>
              <w:t>Programa Nacional de Cupos Transables de Emisión de Gases de Efecto Invernadero (PNCTE)</w:t>
            </w:r>
            <w:r w:rsidRPr="00413DCB">
              <w:rPr>
                <w:lang w:val="en-US"/>
              </w:rPr>
              <w:t>, which requires regulated entities to back their emissions with tradable quotas. These entities must report verified emissions reductions or removals to the </w:t>
            </w:r>
            <w:r w:rsidRPr="00413DCB">
              <w:rPr>
                <w:i/>
                <w:iCs/>
                <w:lang w:val="en-US"/>
              </w:rPr>
              <w:t>Registro Nacional de Reducción de las Emisiones de Gases de Efecto Invernadero (RENARE)</w:t>
            </w:r>
            <w:r w:rsidRPr="00413DCB">
              <w:rPr>
                <w:lang w:val="en-US"/>
              </w:rPr>
              <w:t>. This obligation is mandatory and includes verification and certification requirements. In contrast, other public or private actors may voluntarily report offsets or removals if they wish to receive recognition or tradable credits, but they are not compelled to do so unless they fall under the regulated category.</w:t>
            </w:r>
          </w:p>
          <w:p w14:paraId="689CE91E" w14:textId="77777777" w:rsidR="00413DCB" w:rsidRPr="00413DCB" w:rsidRDefault="00413DCB" w:rsidP="00413DCB">
            <w:pPr>
              <w:rPr>
                <w:lang w:val="en-US"/>
              </w:rPr>
            </w:pPr>
            <w:r w:rsidRPr="00413DCB">
              <w:rPr>
                <w:lang w:val="en-US"/>
              </w:rPr>
              <w:t>Therefore, while the broader climate governance framework applies to a wide range of public institutions and encourages voluntary participation from private actors, the mandatory disclosure of GHG offsets or removals is specifically targeted at regulated entities within the emissions trading system. These entities are subject to stricter compliance thresholds, including third-party verification and potential monetary sanctions for non-compliance, as outlined in Article 32</w:t>
            </w:r>
          </w:p>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52677349" w14:textId="77777777" w:rsidR="00413DCB" w:rsidRPr="00413DCB" w:rsidRDefault="00413DCB" w:rsidP="00413DCB">
            <w:pPr>
              <w:rPr>
                <w:lang w:val="en-US"/>
              </w:rPr>
            </w:pPr>
            <w:r w:rsidRPr="00413DCB">
              <w:rPr>
                <w:lang w:val="en-US"/>
              </w:rPr>
              <w:t>Yes, the entities required to disclose greenhouse gas (GHG) emissions reduction targets under Law 1931 of 2018 differ from those broadly identified in Q1.1. While the law applies generally to public and private actors involved in climate governance, the obligation to define and disclose GHG reduction targets is specifically directed at national ministries and sectoral authorities through the development of </w:t>
            </w:r>
            <w:r w:rsidRPr="00413DCB">
              <w:rPr>
                <w:i/>
                <w:iCs/>
                <w:lang w:val="en-US"/>
              </w:rPr>
              <w:t>Planes Integrales de Gestión del Cambio Climático Sectoriales (PIGCCS)</w:t>
            </w:r>
            <w:r w:rsidRPr="00413DCB">
              <w:rPr>
                <w:lang w:val="en-US"/>
              </w:rPr>
              <w:t>.</w:t>
            </w:r>
          </w:p>
          <w:p w14:paraId="65BEABE2" w14:textId="77777777" w:rsidR="00413DCB" w:rsidRPr="00413DCB" w:rsidRDefault="00413DCB" w:rsidP="00413DCB">
            <w:pPr>
              <w:rPr>
                <w:lang w:val="en-US"/>
              </w:rPr>
            </w:pPr>
            <w:r w:rsidRPr="00413DCB">
              <w:rPr>
                <w:lang w:val="en-US"/>
              </w:rPr>
              <w:t>According to Article 17, each ministry is responsible for identifying and incorporating mitigation measures and emissions reduction targets into its sectoral policies and regulations. These targets are part of Colombia’s nationally determined contributions (NDCs) under the UNFCCC framework and must be aligned with national climate goals. The disclosure of these targets is mandatory for ministries, and they are required to report progress annually to the legislative branch. However, this obligation does not extend in the same way to private companies, local governments, or non-governmental actors.</w:t>
            </w:r>
          </w:p>
          <w:p w14:paraId="5ED4DA50" w14:textId="77777777" w:rsidR="00413DCB" w:rsidRPr="00413DCB" w:rsidRDefault="00413DCB" w:rsidP="00413DCB">
            <w:pPr>
              <w:rPr>
                <w:lang w:val="en-US"/>
              </w:rPr>
            </w:pPr>
            <w:r w:rsidRPr="00413DCB">
              <w:rPr>
                <w:lang w:val="en-US"/>
              </w:rPr>
              <w:t xml:space="preserve">For other entities—such as municipalities, departments, and private sector actors—setting and disclosing GHG reduction targets is encouraged but not mandatory. These entities may include such targets in their territorial climate plans (PIGCCT) or voluntary initiatives, but the law does not impose a uniform compliance threshold or enforcement mechanism for them. Thus, while the broader climate governance framework encourages widespread participation, the legal </w:t>
            </w:r>
            <w:r w:rsidRPr="00413DCB">
              <w:rPr>
                <w:lang w:val="en-US"/>
              </w:rPr>
              <w:lastRenderedPageBreak/>
              <w:t>obligation to disclose GHG reduction targets is more narrowly applied to national-level sectoral authorities</w:t>
            </w:r>
          </w:p>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lastRenderedPageBreak/>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360B58CD" w14:textId="77777777" w:rsidR="001637C1" w:rsidRPr="001637C1" w:rsidRDefault="001637C1" w:rsidP="001637C1">
            <w:pPr>
              <w:rPr>
                <w:lang w:val="en-US"/>
              </w:rPr>
            </w:pPr>
            <w:r w:rsidRPr="001637C1">
              <w:rPr>
                <w:lang w:val="en-US"/>
              </w:rPr>
              <w:t>Yes, the entities encouraged to disclose other climate-related targets under Law 1931 of 2018 differ from those broadly identified in Q1.1. While the law applies to both public and private actors, the obligation to define and disclose specific climate-related targets—such as adaptation goals, ecosystem resilience, or energy transition benchmarks—is primarily directed at national ministries and territorial authorities.</w:t>
            </w:r>
          </w:p>
          <w:p w14:paraId="6C5A75F7" w14:textId="77777777" w:rsidR="001637C1" w:rsidRPr="001637C1" w:rsidRDefault="001637C1" w:rsidP="001637C1">
            <w:pPr>
              <w:rPr>
                <w:lang w:val="en-US"/>
              </w:rPr>
            </w:pPr>
            <w:r w:rsidRPr="001637C1">
              <w:rPr>
                <w:lang w:val="en-US"/>
              </w:rPr>
              <w:t>These entities are required to develop </w:t>
            </w:r>
            <w:r w:rsidRPr="001637C1">
              <w:rPr>
                <w:i/>
                <w:iCs/>
                <w:lang w:val="en-US"/>
              </w:rPr>
              <w:t>Planes Integrales de Gestión del Cambio Climático Sectoriales y Territoriales (PIGCCS and PIGCCT)</w:t>
            </w:r>
            <w:r w:rsidRPr="001637C1">
              <w:rPr>
                <w:lang w:val="en-US"/>
              </w:rPr>
              <w:t>, which must include climate-related targets based on vulnerability assessments and emissions inventories. This duty is mandatory for ministries and regional governments, and the targets must be integrated into development and land-use plans.</w:t>
            </w:r>
          </w:p>
          <w:p w14:paraId="656C83CF" w14:textId="77777777" w:rsidR="001637C1" w:rsidRPr="001637C1" w:rsidRDefault="001637C1" w:rsidP="001637C1">
            <w:pPr>
              <w:rPr>
                <w:lang w:val="en-US"/>
              </w:rPr>
            </w:pPr>
            <w:r w:rsidRPr="001637C1">
              <w:rPr>
                <w:lang w:val="en-US"/>
              </w:rPr>
              <w:t>In contrast, private sector entities and non-governmental organizations are not explicitly required to disclose such targets. Their participation is voluntary, and while they are encouraged to align with national and regional climate strategies, they are not subject to the same compliance thresholds or enforcement mechanisms.</w:t>
            </w:r>
          </w:p>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3D03D580" w14:textId="4AB8AE2B" w:rsidR="001637C1" w:rsidRPr="001637C1" w:rsidRDefault="001637C1" w:rsidP="001637C1">
            <w:pPr>
              <w:rPr>
                <w:lang w:val="en-US"/>
              </w:rPr>
            </w:pPr>
            <w:r w:rsidRPr="001637C1">
              <w:t>Y</w:t>
            </w:r>
            <w:r w:rsidRPr="001637C1">
              <w:rPr>
                <w:lang w:val="en-US"/>
              </w:rPr>
              <w:t>es, the entities encouraged to disclose physical climate risk under Law 1931 of 2018 differ from those broadly identified in Q1.1. While the law applies to both public and private actors, the obligation to assess and disclose physical climate risks is mainly directed at territorial entities—departments, municipalities, and districts—as well as environmental authorities.</w:t>
            </w:r>
          </w:p>
          <w:p w14:paraId="5722661E" w14:textId="77777777" w:rsidR="001637C1" w:rsidRPr="001637C1" w:rsidRDefault="001637C1" w:rsidP="001637C1">
            <w:pPr>
              <w:rPr>
                <w:lang w:val="en-US"/>
              </w:rPr>
            </w:pPr>
            <w:r w:rsidRPr="001637C1">
              <w:rPr>
                <w:lang w:val="en-US"/>
              </w:rPr>
              <w:t>These public entities are required to include climate risk assessments in their </w:t>
            </w:r>
            <w:r w:rsidRPr="001637C1">
              <w:rPr>
                <w:i/>
                <w:iCs/>
                <w:lang w:val="en-US"/>
              </w:rPr>
              <w:t>Planes Integrales de Gestión del Cambio Climático Territoriales (PIGCCT)</w:t>
            </w:r>
            <w:r w:rsidRPr="001637C1">
              <w:rPr>
                <w:lang w:val="en-US"/>
              </w:rPr>
              <w:t> and disaster risk management plans (Articles 11, 24, and 25). This duty is mandatory and tied to planning and investment decisions.</w:t>
            </w:r>
          </w:p>
          <w:p w14:paraId="5DB465D6" w14:textId="5833C162" w:rsidR="001637C1" w:rsidRPr="001637C1" w:rsidRDefault="001637C1" w:rsidP="001637C1">
            <w:pPr>
              <w:rPr>
                <w:lang w:val="en-US"/>
              </w:rPr>
            </w:pPr>
            <w:r>
              <w:rPr>
                <w:lang w:val="en-US"/>
              </w:rPr>
              <w:t>P</w:t>
            </w:r>
            <w:r w:rsidRPr="001637C1">
              <w:rPr>
                <w:lang w:val="en-US"/>
              </w:rPr>
              <w:t>rivate sector entities are not required to disclose physical climate risks. Their participation is voluntary, and while encouraged to align with national strategies, they are not subject to the same legal obligations.</w:t>
            </w:r>
          </w:p>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385A4B4F" w14:textId="77777777" w:rsidR="001637C1" w:rsidRPr="001637C1" w:rsidRDefault="001637C1" w:rsidP="001637C1">
            <w:pPr>
              <w:rPr>
                <w:lang w:val="en-US"/>
              </w:rPr>
            </w:pPr>
            <w:r w:rsidRPr="001637C1">
              <w:rPr>
                <w:lang w:val="en-US"/>
              </w:rPr>
              <w:t>Yes, the entities encouraged to disclose climate transition risk under Law 1931 of 2018 differ from those broadly identified in Q1.1. While the law applies to a wide range of public and private actors, the responsibility to assess and address transition risks—such as policy, market, or technological shifts toward a low-carbon economy—is primarily directed at national ministries and sectoral authorities.</w:t>
            </w:r>
          </w:p>
          <w:p w14:paraId="7B07DB28" w14:textId="77777777" w:rsidR="001637C1" w:rsidRPr="001637C1" w:rsidRDefault="001637C1" w:rsidP="001637C1">
            <w:pPr>
              <w:rPr>
                <w:lang w:val="en-US"/>
              </w:rPr>
            </w:pPr>
            <w:r w:rsidRPr="001637C1">
              <w:rPr>
                <w:lang w:val="en-US"/>
              </w:rPr>
              <w:t>These entities are required to develop </w:t>
            </w:r>
            <w:r w:rsidRPr="001637C1">
              <w:rPr>
                <w:i/>
                <w:iCs/>
                <w:lang w:val="en-US"/>
              </w:rPr>
              <w:t>Planes Integrales de Gestión del Cambio Climático Sectoriales (PIGCCS)</w:t>
            </w:r>
            <w:r w:rsidRPr="001637C1">
              <w:rPr>
                <w:lang w:val="en-US"/>
              </w:rPr>
              <w:t>, which must include strategies for decarbonization and sectoral adaptation to climate policy changes (Article 17). This obligation is mandatory for ministries and must align with Colombia’s national climate goals and international commitments.</w:t>
            </w:r>
          </w:p>
          <w:p w14:paraId="776F75FA" w14:textId="37139F5B" w:rsidR="001637C1" w:rsidRPr="001637C1" w:rsidRDefault="001637C1" w:rsidP="001637C1">
            <w:pPr>
              <w:rPr>
                <w:lang w:val="en-US"/>
              </w:rPr>
            </w:pPr>
            <w:r w:rsidRPr="001637C1">
              <w:rPr>
                <w:lang w:val="en-US"/>
              </w:rPr>
              <w:t>The private sector entities are not required to disclose transition risks under the law. Their participation is voluntary, and while they are encouraged to align with national strategies, they are not subject to specific thresholds or enforcement mechanisms for transition risk disclosure</w:t>
            </w:r>
          </w:p>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6F3782A4" w14:textId="77777777" w:rsidR="001637C1" w:rsidRPr="001637C1" w:rsidRDefault="001637C1" w:rsidP="001637C1">
            <w:pPr>
              <w:rPr>
                <w:lang w:val="en-US"/>
              </w:rPr>
            </w:pPr>
            <w:r w:rsidRPr="001637C1">
              <w:rPr>
                <w:lang w:val="en-US"/>
              </w:rPr>
              <w:t>Yes, the entities encouraged to disclose a climate transition plan under Law 1931 of 2018 differ from those broadly identified in Q1.1. While the law applies to a wide range of public and private actors, the responsibility to develop and disclose transition plans is primarily directed at national ministries through the creation of </w:t>
            </w:r>
            <w:r w:rsidRPr="001637C1">
              <w:rPr>
                <w:i/>
                <w:iCs/>
                <w:lang w:val="en-US"/>
              </w:rPr>
              <w:t>Planes Integrales de Gestión del Cambio Climático Sectoriales (PIGCCS)</w:t>
            </w:r>
            <w:r w:rsidRPr="001637C1">
              <w:rPr>
                <w:lang w:val="en-US"/>
              </w:rPr>
              <w:t>.</w:t>
            </w:r>
          </w:p>
          <w:p w14:paraId="3F9BB4C1" w14:textId="77777777" w:rsidR="001637C1" w:rsidRDefault="001637C1" w:rsidP="001637C1">
            <w:pPr>
              <w:rPr>
                <w:lang w:val="en-US"/>
              </w:rPr>
            </w:pPr>
            <w:r w:rsidRPr="001637C1">
              <w:rPr>
                <w:lang w:val="en-US"/>
              </w:rPr>
              <w:t>These plans, required under Article 17, must outline sector-specific pathways for reducing emissions and adapting to climate policy changes. This obligation is mandatory for ministries and must align with Colombia’s national climate goals and international commitments.</w:t>
            </w:r>
          </w:p>
          <w:p w14:paraId="76ECD165" w14:textId="2D1BE267" w:rsidR="001637C1" w:rsidRPr="001637C1" w:rsidRDefault="001637C1" w:rsidP="001637C1">
            <w:pPr>
              <w:rPr>
                <w:lang w:val="en-US"/>
              </w:rPr>
            </w:pPr>
            <w:r w:rsidRPr="001637C1">
              <w:t>Private sector entities and local governments are not required to develop or disclose formal transition plans. Their participation is voluntary, and while they are encouraged to align with national strategies, they are not subject to specific thresholds or enforcement mechanisms for transition planning.</w:t>
            </w:r>
          </w:p>
          <w:p w14:paraId="72716685" w14:textId="77777777" w:rsidR="00931F08" w:rsidRPr="001637C1" w:rsidRDefault="00931F08" w:rsidP="00DD3144">
            <w:pPr>
              <w:rPr>
                <w:lang w:val="en-US"/>
              </w:rPr>
            </w:pP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lastRenderedPageBreak/>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4F046E09" w:rsidR="00B0479E" w:rsidRPr="00F75058" w:rsidRDefault="001637C1"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F29810D" w:rsidR="00B0479E" w:rsidRPr="00F75058" w:rsidRDefault="001637C1"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1CBF3927" w:rsidR="00B0479E" w:rsidRPr="00F75058" w:rsidRDefault="001637C1"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7718B58D" w:rsidR="00B0479E" w:rsidRPr="00F75058" w:rsidRDefault="001637C1"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0647D03D" w:rsidR="00B0479E" w:rsidRPr="00F75058" w:rsidRDefault="001637C1"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09B0145A" w:rsidR="00B0479E" w:rsidRPr="00F75058" w:rsidRDefault="001637C1"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34D3C9E1" w:rsidR="00B0479E" w:rsidRPr="00F75058" w:rsidRDefault="001637C1"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CB8DA64" w:rsidR="00B0479E" w:rsidRDefault="001637C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A2E3CBF" w:rsidR="00B0479E" w:rsidRDefault="001637C1"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38BDD3EA" w:rsidR="00B0479E" w:rsidRDefault="008D6595"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lastRenderedPageBreak/>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B944C21" w:rsidR="00B0479E" w:rsidRDefault="008D6595"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09318B6E"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1538DB5D" w:rsidR="00B0479E" w:rsidRDefault="008D6595"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1E5CA322" w:rsidR="00B0479E" w:rsidRDefault="008D6595"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29543B48" w:rsidR="00B0479E" w:rsidRDefault="008D6595"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4494AE0A" w14:textId="77777777" w:rsidR="008D6595" w:rsidRPr="008D6595" w:rsidRDefault="008D6595" w:rsidP="008D6595">
            <w:pPr>
              <w:rPr>
                <w:lang w:val="en-US"/>
              </w:rPr>
            </w:pPr>
            <w:r w:rsidRPr="008D6595">
              <w:rPr>
                <w:lang w:val="en-US"/>
              </w:rPr>
              <w:t>Law 1931 of 2018 includes clear provisions requiring the disclosure of greenhouse gas (GHG) emissions offsets or removals, particularly for entities participating in Colombia’s carbon market framework. These provisions are primarily found in Articles 26, 30, and 31 of the law.</w:t>
            </w:r>
          </w:p>
          <w:p w14:paraId="1235B427" w14:textId="3E8301DD" w:rsidR="008D6595" w:rsidRPr="008D6595" w:rsidRDefault="008D6595" w:rsidP="008D6595">
            <w:pPr>
              <w:rPr>
                <w:lang w:val="en-US"/>
              </w:rPr>
            </w:pPr>
            <w:r w:rsidRPr="008D6595">
              <w:rPr>
                <w:lang w:val="es-ES"/>
              </w:rPr>
              <w:t xml:space="preserve">First, Article 26 establishes the Registro Nacional de Reducción de las Emisiones de Gases de Efecto Invernadero (RENARE) as part of the Sistema Nacional de Información sobre Cambio Climático. </w:t>
            </w:r>
            <w:r w:rsidRPr="008D6595">
              <w:rPr>
                <w:lang w:val="en-US"/>
              </w:rPr>
              <w:t>RENARE functions as the official registry for verified emissions reductions and removals, and it is a mandatory disclosure mechanism for both regulated and voluntary participants in mitigation initiatives </w:t>
            </w:r>
          </w:p>
          <w:p w14:paraId="314D0407" w14:textId="77777777" w:rsidR="008D6595" w:rsidRPr="008D6595" w:rsidRDefault="008D6595" w:rsidP="008D6595">
            <w:pPr>
              <w:rPr>
                <w:lang w:val="en-US"/>
              </w:rPr>
            </w:pPr>
            <w:r w:rsidRPr="008D6595">
              <w:rPr>
                <w:lang w:val="es-ES"/>
              </w:rPr>
              <w:t xml:space="preserve">Second, Article 30 creates the Programa Nacional de Cupos Transables de Emisión de Gases de Efecto Invernadero (PNCTE). </w:t>
            </w:r>
            <w:r w:rsidRPr="008D6595">
              <w:rPr>
                <w:lang w:val="en-US"/>
              </w:rPr>
              <w:t>This program allows for the issuance of tradable emissions allowances and recognizes verified reductions or removals from voluntary initiatives. To be eligible for tradable credits, these reductions must be certified, verified, and registered in RENARE, ensuring transparency and traceability </w:t>
            </w:r>
          </w:p>
          <w:p w14:paraId="081508B0" w14:textId="0FC1877C" w:rsidR="008D6595" w:rsidRPr="008D6595" w:rsidRDefault="008D6595" w:rsidP="008D6595">
            <w:pPr>
              <w:rPr>
                <w:lang w:val="en-US"/>
              </w:rPr>
            </w:pPr>
          </w:p>
          <w:p w14:paraId="29FB090D" w14:textId="77777777" w:rsidR="008D6595" w:rsidRPr="008D6595" w:rsidRDefault="008D6595" w:rsidP="008D6595">
            <w:pPr>
              <w:rPr>
                <w:lang w:val="en-US"/>
              </w:rPr>
            </w:pPr>
            <w:r w:rsidRPr="008D6595">
              <w:rPr>
                <w:lang w:val="en-US"/>
              </w:rPr>
              <w:lastRenderedPageBreak/>
              <w:t>Finally, Article 31 mandates that the Ministry of Environment and Sustainable Development regulate the verification, certification, and registration of emissions, reductions, and removals. It requires that all such data be verified by an independent third party, reinforcing the legal obligation for methodological rigor and disclosure integrity</w:t>
            </w:r>
          </w:p>
          <w:p w14:paraId="30D54D96" w14:textId="77777777" w:rsidR="00B0479E" w:rsidRPr="008D6595"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3AAA99A4" w14:textId="77777777" w:rsidR="008D6595" w:rsidRPr="008D6595" w:rsidRDefault="008D6595" w:rsidP="008D6595">
            <w:pPr>
              <w:rPr>
                <w:lang w:val="en-US"/>
              </w:rPr>
            </w:pPr>
            <w:r w:rsidRPr="008D6595">
              <w:rPr>
                <w:lang w:val="en-US"/>
              </w:rPr>
              <w:t>Yes, Law 1931 of 2018 includes additional requirements regarding the appropriate use of offsets and removals, particularly within the framework of Colombia’s emissions trading system.</w:t>
            </w:r>
          </w:p>
          <w:p w14:paraId="3DD4ECC3" w14:textId="77777777" w:rsidR="008D6595" w:rsidRPr="008D6595" w:rsidRDefault="008D6595" w:rsidP="008D6595">
            <w:pPr>
              <w:rPr>
                <w:lang w:val="en-US"/>
              </w:rPr>
            </w:pPr>
            <w:r w:rsidRPr="008D6595">
              <w:rPr>
                <w:lang w:val="en-US"/>
              </w:rPr>
              <w:t>Specifically, Article 30 establishes that the Programa Nacional de Cupos Transables de Emisión de Gases de Efecto Invernadero (PNCTE) may issue tradable emissions allowances not only through auctions but also in recognition of verified emissions reductions or removals from voluntary initiatives. These offsets must be certified, verified, and registered in the Registro Nacional de Reducción de las Emisiones de Gases de Efecto Invernadero (RENARE) to ensure transparency and avoid double counting.</w:t>
            </w:r>
          </w:p>
          <w:p w14:paraId="2C8BD9EB" w14:textId="77777777" w:rsidR="008D6595" w:rsidRPr="008D6595" w:rsidRDefault="008D6595" w:rsidP="008D6595">
            <w:pPr>
              <w:rPr>
                <w:lang w:val="en-US"/>
              </w:rPr>
            </w:pPr>
            <w:r w:rsidRPr="008D6595">
              <w:rPr>
                <w:lang w:val="en-US"/>
              </w:rPr>
              <w:t>Additionally, Article 31 requires that all emissions, reductions, and removals be verified by an independent third party and registered according to standards set by the Ministry of Environment and Sustainable Development. This ensures that offsets used for compliance or recognition are credible, traceable, and aligned with national climate goals. These provisions collectively establish a robust framework for the appropriate use of offsets and removals in Colombia’s climate policy</w:t>
            </w:r>
          </w:p>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3C716C3F" w:rsidR="00B0479E" w:rsidRDefault="008D6595"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6E4FBBE0" w:rsidR="00B0479E" w:rsidRDefault="008D6595"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4E63989D" w:rsidR="00B0479E" w:rsidRDefault="008D6595"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05C882B9" w:rsidR="00B0479E" w:rsidRDefault="008D6595"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1774823" w:rsidR="00B0479E" w:rsidRDefault="008D6595"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3D2E1124" w:rsidR="00B0479E" w:rsidRDefault="008D6595" w:rsidP="00DD3144">
            <w:r>
              <w:t>X</w:t>
            </w:r>
          </w:p>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14D2E7F4" w:rsidR="00B0479E" w:rsidRDefault="008D6595"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A193CFA" w:rsidR="00B0479E" w:rsidRDefault="008D6595"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055D6C93" w:rsidR="00B0479E" w:rsidRDefault="008D6595"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2FFD2D0B" w:rsidR="00B0479E" w:rsidRDefault="008D6595"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68F4AD95" w:rsidR="00B0479E" w:rsidRDefault="008D6595"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7A10728C" w:rsidR="00B0479E" w:rsidRDefault="008D6595" w:rsidP="00DD3144">
            <w:r>
              <w:t>X</w:t>
            </w:r>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326FB22" w:rsidR="00B0479E" w:rsidRDefault="008D6595" w:rsidP="00DD3144">
            <w:r>
              <w:t>X</w:t>
            </w:r>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1EB3BF78" w:rsidR="00B0479E" w:rsidRDefault="008D6595"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4AE47E6" w14:textId="77777777" w:rsidR="008D6595" w:rsidRPr="008D6595" w:rsidRDefault="008D6595" w:rsidP="008D6595">
            <w:pPr>
              <w:rPr>
                <w:lang w:val="en-US"/>
              </w:rPr>
            </w:pPr>
            <w:r w:rsidRPr="008D6595">
              <w:rPr>
                <w:lang w:val="en-US"/>
              </w:rPr>
              <w:t>Law 1931 of 2018 does not prescribe a fixed target year like 2030 or 2050. Instead, it establishes a planning horizon for emissions reductions and climate action targets. According to Article 20, the initial planning horizon for the Planes Integrales de Gestión del Cambio Climático Sectoriales y Territoriales (PIGCCS and PIGCCT) is set to 2029, after which the planning cycle extends to 20-year periods.</w:t>
            </w:r>
          </w:p>
          <w:p w14:paraId="4D08FC06" w14:textId="77777777" w:rsidR="008D6595" w:rsidRPr="008D6595" w:rsidRDefault="008D6595" w:rsidP="008D6595">
            <w:pPr>
              <w:rPr>
                <w:lang w:val="en-US"/>
              </w:rPr>
            </w:pPr>
            <w:r w:rsidRPr="008D6595">
              <w:rPr>
                <w:lang w:val="en-US"/>
              </w:rPr>
              <w:t>This means that while the law does not mandate a specific target year (e.g., “net zero by 2050”), it requires entities to define and update their targets within a structured, long-term planning framework aligned with national and international climate commitments.</w:t>
            </w:r>
          </w:p>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21C2A7C8" w:rsidR="00B0479E" w:rsidRDefault="00077F9B"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005AE29D" w:rsidR="00B0479E" w:rsidRDefault="00077F9B"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1B3BE50B" w:rsidR="00B0479E" w:rsidRDefault="00077F9B"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50003C88" w:rsidR="00B0479E" w:rsidRDefault="00077F9B"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23E77381" w:rsidR="00B0479E" w:rsidRDefault="00077F9B"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60BE2DEC" w:rsidR="00B0479E" w:rsidRDefault="00077F9B"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2D1F58C" w:rsidR="00B0479E" w:rsidRDefault="00077F9B"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lastRenderedPageBreak/>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1DED3847" w:rsidR="00B0479E" w:rsidRPr="00077F9B" w:rsidRDefault="00077F9B" w:rsidP="00DD3144">
            <w:r w:rsidRPr="00077F9B">
              <w:t>Law 1931 of 2018 recommends that entities disclose interim GHG emissions reductions targets. According to Article 15, Colombia’s nationally determined contributions (NDCs) must be defined with short-, medium-, and long-term horizons, and these commitments are updated periodically in coordination with relevant ministries. While the law does not mandate interim targets for all entities, it encourages ministries and sectoral authorities to align their planning instruments—such as the Planes Integrales de Gestión del Cambio Climático Sectoriales (PIGCCS)—with these time-bound national goals</w:t>
            </w:r>
            <w:r>
              <w:t>.</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D04AF99" w:rsidR="00B0479E" w:rsidRDefault="00077F9B"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7DB9A39D" w:rsidR="00B0479E" w:rsidRDefault="00077F9B" w:rsidP="00DD3144">
            <w:r>
              <w:t>X</w:t>
            </w:r>
          </w:p>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1A58607" w:rsidR="00B0479E" w:rsidRDefault="00077F9B"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24ED8A1" w:rsidR="00B0479E" w:rsidRDefault="00077F9B"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25D957A8" w:rsidR="00B0479E" w:rsidRDefault="00077F9B"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lastRenderedPageBreak/>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07376438" w14:textId="71329DC8" w:rsidR="00077F9B" w:rsidRPr="00077F9B" w:rsidRDefault="00077F9B" w:rsidP="00077F9B">
            <w:pPr>
              <w:rPr>
                <w:lang w:val="en-US"/>
              </w:rPr>
            </w:pPr>
            <w:r w:rsidRPr="00077F9B">
              <w:rPr>
                <w:lang w:val="en-US"/>
              </w:rPr>
              <w:t>Renewable Energy: Article 12 recommends that national and subnational development plans incorporate provisions from Law 1715 of 2014 to promote non-conventional renewable energy sources and energy efficiency as tools for GHG mitigation </w:t>
            </w:r>
          </w:p>
          <w:p w14:paraId="55B937BB" w14:textId="7E4C4F55" w:rsidR="00077F9B" w:rsidRPr="00077F9B" w:rsidRDefault="00077F9B" w:rsidP="00077F9B">
            <w:pPr>
              <w:rPr>
                <w:lang w:val="en-US"/>
              </w:rPr>
            </w:pPr>
            <w:r w:rsidRPr="00077F9B">
              <w:rPr>
                <w:lang w:val="en-US"/>
              </w:rPr>
              <w:t>Climate Adaptation: Articles 7, 8, 9, 17, and 18 require ministries, departments, and municipalities to develop and implement adaptation measures through their respective climate plans (PIGCCS and PIGCCT). These measures must be integrated into land-use and development planning </w:t>
            </w:r>
          </w:p>
          <w:p w14:paraId="3D9BE9FC" w14:textId="77777777" w:rsidR="00077F9B" w:rsidRPr="00077F9B" w:rsidRDefault="00077F9B" w:rsidP="00077F9B">
            <w:pPr>
              <w:rPr>
                <w:lang w:val="en-US"/>
              </w:rPr>
            </w:pPr>
            <w:r w:rsidRPr="00077F9B">
              <w:rPr>
                <w:lang w:val="en-US"/>
              </w:rPr>
              <w:t>Nature and Biodiversity: Article 18, Paragraph 2, recommends that territorial climate plans (PIGCCT) include ecosystem-based adaptation actions and protected area management instruments for continental, coastal, and insular ecosystems</w:t>
            </w:r>
          </w:p>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37D4A336" w:rsidR="00EC42A1" w:rsidRDefault="00077F9B"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2A0C30AC" w:rsidR="00EC42A1" w:rsidRDefault="00077F9B"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0BE9C97C" w:rsidR="00EC42A1" w:rsidRDefault="008A3A6C"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lastRenderedPageBreak/>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17AFF15" w:rsidR="00EC42A1" w:rsidRDefault="008A3A6C"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CBA5E97" w:rsidR="00EC42A1" w:rsidRDefault="008A3A6C"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3730212" w:rsidR="00EC42A1" w:rsidRDefault="008A3A6C"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62320B49" w:rsidR="00484663" w:rsidRDefault="008A3A6C"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28B24148" w:rsidR="00484663" w:rsidRDefault="008A3A6C"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7EF4A1F" w:rsidR="00484663" w:rsidRDefault="008A3A6C"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4FC5A21" w:rsidR="00484663" w:rsidRDefault="008A3A6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45957AC" w:rsidR="00484663" w:rsidRDefault="008A3A6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6C7B3B6" w:rsidR="00484663" w:rsidRDefault="008A3A6C"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684B2BBA" w:rsidR="00484663" w:rsidRDefault="008A3A6C"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50F118B2" w:rsidR="00484663" w:rsidRDefault="008A3A6C"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536A99B0" w:rsidR="00484663" w:rsidRDefault="008A3A6C"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5F6B2273" w:rsidR="00484663" w:rsidRDefault="008A3A6C"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76B3117" w:rsidR="00484663" w:rsidRDefault="008A3A6C"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80BB38F" w:rsidR="00484663" w:rsidRDefault="008A3A6C"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B505DAB" w:rsidR="00484663" w:rsidRDefault="008A3A6C"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872AC58" w:rsidR="00484663" w:rsidRDefault="008A3A6C"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F06BC0F" w:rsidR="00484663" w:rsidRDefault="008A3A6C"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1502BFB1" w:rsidR="00484663" w:rsidRDefault="008A3A6C"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47ABDBAE" w:rsidR="00484663" w:rsidRDefault="008A3A6C"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34A590C4" w:rsidR="00484663" w:rsidRDefault="008A3A6C"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7858EA91" w14:textId="77777777" w:rsidR="008A3A6C" w:rsidRPr="008A3A6C" w:rsidRDefault="008A3A6C" w:rsidP="008A3A6C">
            <w:pPr>
              <w:rPr>
                <w:lang w:val="en-US"/>
              </w:rPr>
            </w:pPr>
            <w:r w:rsidRPr="008A3A6C">
              <w:rPr>
                <w:lang w:val="en-US"/>
              </w:rPr>
              <w:t>Yes, the entities recommended to disclose climate-related opportunities under Law 1931 of 2018 differ from those broadly identified in Q1.1. While the law applies to both public and private actors, the obligation to identify and integrate climate-related opportunities—such as innovation, low-carbon development, and ecosystem-based adaptation—is primarily directed at public entities, including ministries and territorial authorities. These entities are required to incorporate such opportunities into their climate plans (PIGCCS and PIGCCT) and development strategies, as outlined in Articles 1 and 16.</w:t>
            </w:r>
          </w:p>
          <w:p w14:paraId="062BAFB2" w14:textId="77777777" w:rsidR="008A3A6C" w:rsidRPr="008A3A6C" w:rsidRDefault="008A3A6C" w:rsidP="008A3A6C">
            <w:pPr>
              <w:rPr>
                <w:lang w:val="en-US"/>
              </w:rPr>
            </w:pPr>
            <w:r w:rsidRPr="008A3A6C">
              <w:rPr>
                <w:lang w:val="en-US"/>
              </w:rPr>
              <w:t>In contrast, private sector entities are not mandated to disclose climate-related opportunities but are encouraged to do so voluntarily, especially if they participate in mitigation or adaptation initiatives recognized under programs like RENARE or PNCTE. Their engagement is framed as supportive of national goals rather than subject to specific compliance thresholds. This distinction reflects the law’s emphasis on public leadership in climate governance while promoting inclusive participation from all sectors.</w:t>
            </w:r>
          </w:p>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A48D91B" w:rsidR="00484663" w:rsidRDefault="008A3A6C" w:rsidP="00DD3144">
            <w:r w:rsidRPr="008A3A6C">
              <w:t>No, the policy tool established by Law 1931 of 2018 does not recommend or require entities to disclose remuneration based on achieving climate-related goals, nor does it identify any specific entities for such disclosures. This topic is not addressed in the law’s provisions, which focus instead on emissions reporting, climate planning, adaptation, and mitigation strategies</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70600626" w14:textId="656A84C9" w:rsidR="00550AE2" w:rsidRPr="00550AE2" w:rsidRDefault="00550AE2" w:rsidP="00550AE2">
            <w:pPr>
              <w:rPr>
                <w:lang w:val="en-US"/>
              </w:rPr>
            </w:pPr>
            <w:r w:rsidRPr="00550AE2">
              <w:rPr>
                <w:lang w:val="en-US"/>
              </w:rPr>
              <w:t>Yes, Law 1931 of 2018 assigns the responsibility to disclose climate-related capital allocation and expenditure plans mainly to public entities. Ministries are expected to include financing strategies for mitigation and adaptation within their sectoral climate plans (PIGCCS), as outlined in Article 17. These plans must detail how resources will be mobilized and allocated to meet Colombia’s climate goals, making this a formal duty for national-level institutions </w:t>
            </w:r>
          </w:p>
          <w:p w14:paraId="2ED8D0F3" w14:textId="77777777" w:rsidR="00550AE2" w:rsidRPr="00550AE2" w:rsidRDefault="00550AE2" w:rsidP="00550AE2">
            <w:pPr>
              <w:rPr>
                <w:lang w:val="en-US"/>
              </w:rPr>
            </w:pPr>
            <w:r w:rsidRPr="00550AE2">
              <w:rPr>
                <w:lang w:val="en-US"/>
              </w:rPr>
              <w:t>Private entities, on the other hand, are not obligated to disclose such financial details. Their involvement is encouraged when participating in voluntary programs like RENARE or PNCTE, but there are no mandatory thresholds or enforcement mechanisms requiring them to report capital expenditures related to climate initiatives </w:t>
            </w:r>
          </w:p>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23586EF4" w:rsidR="00484663" w:rsidRDefault="00550AE2" w:rsidP="00DD3144">
            <w:r w:rsidRPr="00550AE2">
              <w:t>No, Law 1931 of 2018 does not assign specific duties to any group of entities regarding the disclosure of data limitations in scenario analyses. The law does not mention this type of disclosure as either a recommended or required practice for any public or private actor.</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669BB4A2" w:rsidR="00484663" w:rsidRDefault="00550AE2" w:rsidP="00DD3144">
            <w:r w:rsidRPr="00550AE2">
              <w:t>No, Law 1931 of 2018 does not assign any specific duties to entities regarding the disclosure of ESG (Environmental, Social, and Governance) methodologies or criteria. This topic is not addressed in the law’s provisions, either as a recommendation or a requirement.</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AC9EE7F" w:rsidR="00484663" w:rsidRDefault="00550AE2" w:rsidP="00DD3144">
            <w:r w:rsidRPr="00550AE2">
              <w:t>No, Law 1931 of 2018 does not assign any disclosure duties related to climate-related lobbying or policy engagement. The law does not reference lobbying activities, advocacy positions, or interactions with public policy processes as part of its climate governance or reporting framework.</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52CD9FAC" w:rsidR="00484663" w:rsidRDefault="00550AE2" w:rsidP="00DD3144">
            <w:r w:rsidRPr="00550AE2">
              <w:t>No, Law 1931 of 2018 does not assign specific duties to any group of entities regarding the disclosure of locked-in emissions or information on emissive assets with long lifespans. This topic is not addressed in the law’s provisions, either as a recommendation or a requirement.</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655FAF6C" w14:textId="2349CED6" w:rsidR="00550AE2" w:rsidRPr="00550AE2" w:rsidRDefault="00550AE2" w:rsidP="00550AE2">
            <w:pPr>
              <w:rPr>
                <w:lang w:val="en-US"/>
              </w:rPr>
            </w:pPr>
            <w:r w:rsidRPr="00550AE2">
              <w:rPr>
                <w:lang w:val="en-US"/>
              </w:rPr>
              <w:t>Yes, the entities encouraged to disclose nature-related impacts under Law 1931 of 2018 differ from those broadly identified in Q1.1. The law primarily assigns this responsibility to public entities—especially territorial governments and environmental authorities—through the development of Planes Integrales de Gestión del Cambio Climático Territoriales (PIGCCT). Article 18, paragraph 2, requires these plans to include ecosystem-based adaptation actions and instruments for managing protected areas across continental, coastal, and insular ecosystems </w:t>
            </w:r>
          </w:p>
          <w:p w14:paraId="22D9B421" w14:textId="77777777" w:rsidR="00550AE2" w:rsidRPr="00550AE2" w:rsidRDefault="00550AE2" w:rsidP="00550AE2">
            <w:pPr>
              <w:rPr>
                <w:lang w:val="en-US"/>
              </w:rPr>
            </w:pPr>
            <w:r w:rsidRPr="00550AE2">
              <w:rPr>
                <w:lang w:val="en-US"/>
              </w:rPr>
              <w:t>Private sector entities are not explicitly required to disclose nature-related impacts. Their participation is voluntary and generally tied to involvement in mitigation or adaptation initiatives. While they are encouraged to align with national and regional climate strategies, they are not subject to mandatory thresholds or enforcement mechanisms for reporting on biodiversity or ecosystem-related outcomes</w:t>
            </w:r>
          </w:p>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98B1070" w:rsidR="00484663" w:rsidRDefault="00550AE2" w:rsidP="00DD3144">
            <w:r w:rsidRPr="00550AE2">
              <w:t>No, Law 1931 of 2018 does not assign any duties—mandatory or voluntary—regarding the disclosure of just transition indicators. The law does not reference labor impacts, social equity, workforce reskilling, or other elements typically associated with a “just transition” framework</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19C19369" w14:textId="77777777" w:rsidR="00550AE2" w:rsidRPr="00550AE2" w:rsidRDefault="00550AE2" w:rsidP="00550AE2">
            <w:pPr>
              <w:rPr>
                <w:lang w:val="en-US"/>
              </w:rPr>
            </w:pPr>
            <w:r w:rsidRPr="00550AE2">
              <w:rPr>
                <w:lang w:val="en-US"/>
              </w:rPr>
              <w:t xml:space="preserve">Law 1931 of 2018 includes several provisions recommending or requiring the disclosure of other climate-related information beyond emissions and risk. These provisions are primarily </w:t>
            </w:r>
            <w:r w:rsidRPr="00550AE2">
              <w:rPr>
                <w:lang w:val="en-US"/>
              </w:rPr>
              <w:lastRenderedPageBreak/>
              <w:t>embedded in the planning instruments assigned to public entities, particularly ministries and territorial authorities.</w:t>
            </w:r>
          </w:p>
          <w:p w14:paraId="3240DCD7" w14:textId="77777777" w:rsidR="00550AE2" w:rsidRPr="00550AE2" w:rsidRDefault="00550AE2" w:rsidP="00550AE2">
            <w:pPr>
              <w:rPr>
                <w:lang w:val="en-US"/>
              </w:rPr>
            </w:pPr>
            <w:r w:rsidRPr="00550AE2">
              <w:rPr>
                <w:lang w:val="en-US"/>
              </w:rPr>
              <w:t>For example, Article 17 requires that the Planes Integrales de Gestión del Cambio Climático Sectoriales (PIGCCS) include financing strategies for mitigation and adaptation, which implies the recommended disclosure of capital allocation and expenditure plans. Article 18, paragraph 2, mandates that the Planes Integrales de Gestión del Cambio Climático Territoriales (PIGCCT) incorporate ecosystem-based adaptation actions and instruments for managing protected areas, supporting the disclosure of nature-related impacts. Additionally, Articles 1 and 16 emphasize the importance of identifying climate-related opportunities as part of Colombia’s transition to a low-carbon, climate-resilient economy.</w:t>
            </w:r>
          </w:p>
          <w:p w14:paraId="7D64F8B2" w14:textId="77777777" w:rsidR="00550AE2" w:rsidRPr="00550AE2" w:rsidRDefault="00550AE2" w:rsidP="00550AE2">
            <w:pPr>
              <w:rPr>
                <w:lang w:val="en-US"/>
              </w:rPr>
            </w:pPr>
            <w:r w:rsidRPr="00550AE2">
              <w:rPr>
                <w:lang w:val="en-US"/>
              </w:rPr>
              <w:t>However, the law does not address or require disclosures related to just transition indicators, lobbying activities, ESG methodologies, or data limitations in scenario analysis. These areas remain outside the scope of the policy tool’s disclosure framework.</w:t>
            </w:r>
          </w:p>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A0198B2" w:rsidR="00DA416F" w:rsidRPr="00DD3144" w:rsidRDefault="00550AE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D0B2659" w:rsidR="00DA416F" w:rsidRPr="00DD3144" w:rsidRDefault="00550AE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B004A3D" w:rsidR="00DA416F" w:rsidRPr="00DD3144" w:rsidRDefault="00550AE2"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FD245AA" w:rsidR="00DA416F" w:rsidRPr="00DD3144" w:rsidRDefault="00550AE2"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06B2583" w:rsidR="00DA416F" w:rsidRPr="00DD3144" w:rsidRDefault="00550AE2"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64CFDB1" w:rsidR="00DA416F" w:rsidRPr="00DD3144" w:rsidRDefault="00550AE2"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9CC335D" w:rsidR="00DA416F" w:rsidRPr="00DD3144" w:rsidRDefault="00550AE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CBB4F88" w:rsidR="00DA416F" w:rsidRPr="00DD3144" w:rsidRDefault="00550AE2"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2BFCBAE" w:rsidR="00DA416F" w:rsidRPr="00DD3144" w:rsidRDefault="00550AE2"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1ABA3A1" w:rsidR="00DA416F" w:rsidRPr="00DD3144" w:rsidRDefault="00550AE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28D3486" w:rsidR="00DA416F" w:rsidRPr="00DD3144" w:rsidRDefault="00550AE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2EB67A4" w:rsidR="00DA416F" w:rsidRPr="00DD3144" w:rsidRDefault="00550AE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452174E" w:rsidR="00DA416F" w:rsidRPr="00DD3144" w:rsidRDefault="00550AE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179FD57B" w:rsidR="00DA416F" w:rsidRPr="00DD3144" w:rsidRDefault="00550AE2" w:rsidP="00DD3144">
            <w:pPr>
              <w:keepNext/>
              <w:rPr>
                <w:rFonts w:ascii="Calibri" w:hAnsi="Calibri" w:cs="Calibri"/>
              </w:rPr>
            </w:pPr>
            <w:r>
              <w:rPr>
                <w:rFonts w:ascii="Calibri" w:hAnsi="Calibri" w:cs="Calibri"/>
              </w:rPr>
              <w:t>X</w:t>
            </w:r>
          </w:p>
        </w:tc>
        <w:tc>
          <w:tcPr>
            <w:tcW w:w="1503" w:type="dxa"/>
            <w:vAlign w:val="center"/>
          </w:tcPr>
          <w:p w14:paraId="1CB56BCA" w14:textId="0A09186F"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9C15E9C" w:rsidR="004B1F6B" w:rsidRPr="00DD3144" w:rsidRDefault="00550AE2" w:rsidP="00DD3144">
            <w:pPr>
              <w:rPr>
                <w:rFonts w:ascii="Calibri" w:hAnsi="Calibri" w:cs="Calibri"/>
              </w:rPr>
            </w:pPr>
            <w:r w:rsidRPr="00550AE2">
              <w:rPr>
                <w:rFonts w:ascii="Calibri" w:hAnsi="Calibri" w:cs="Calibri"/>
              </w:rPr>
              <w:t>UNFCCC instruments (NDCs, BURs, etc.)</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60C8C00A"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569B59A"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4E06B42"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243528A5"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9356F7D"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12277707" w:rsidR="00C4670C" w:rsidRPr="00C37D48" w:rsidRDefault="00604A32"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E595394" w:rsidR="00C4670C" w:rsidRPr="00C37D48" w:rsidRDefault="00604A3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F821856" w:rsidR="00C4670C" w:rsidRPr="00C37D48" w:rsidRDefault="00604A3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3BA5E3A" w:rsidR="00C4670C" w:rsidRPr="00C37D48" w:rsidRDefault="00604A3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16D8213" w:rsidR="00C4670C" w:rsidRPr="00C37D48" w:rsidRDefault="00604A3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8583541" w:rsidR="00C4670C" w:rsidRPr="00C37D48" w:rsidRDefault="00604A32"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51754E9" w:rsidR="00C4670C" w:rsidRPr="00C37D48" w:rsidRDefault="00604A32"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DD58851" w:rsidR="004F276F" w:rsidRPr="00C37D48" w:rsidRDefault="00604A32"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634FDAA7" w:rsidR="004F276F" w:rsidRPr="00C37D48" w:rsidRDefault="00604A32"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5A4FCEEE" w:rsidR="004F276F" w:rsidRPr="00C37D48" w:rsidRDefault="00604A32"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E8CEF36" w:rsidR="004F276F" w:rsidRPr="00C37D48" w:rsidRDefault="00604A32"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2DF7710" w:rsidR="004F276F" w:rsidRPr="00C37D48" w:rsidRDefault="00604A32"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09C73E98" w:rsidR="004F276F" w:rsidRPr="00C37D48" w:rsidRDefault="00604A32"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57709BD4"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82DF5DB"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ABCF70D"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098D89C"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0A35450"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23C34E5"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3685604B"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4FE48E3"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0EF0C5D3"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09BD9041"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0FBC653D"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2C12924A"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1CBC1226"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3D9009A"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59FCC407"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2B3B6136"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6EFFB8E"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671A2984"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0DFB8A9C" w:rsidR="004F276F" w:rsidRPr="00C37D48" w:rsidRDefault="00604A32"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85EE950" w:rsidR="004F276F" w:rsidRPr="00C37D48" w:rsidRDefault="00604A32"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CA51FD3" w:rsidR="004F276F" w:rsidRPr="00C37D48" w:rsidRDefault="00604A3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3C75457" w14:textId="77777777" w:rsidR="00604A32" w:rsidRPr="00604A32" w:rsidRDefault="00604A32" w:rsidP="00604A32">
            <w:pPr>
              <w:rPr>
                <w:rFonts w:ascii="Calibri" w:hAnsi="Calibri" w:cs="Calibri"/>
                <w:lang w:val="en-US"/>
              </w:rPr>
            </w:pPr>
            <w:r w:rsidRPr="00604A32">
              <w:rPr>
                <w:rFonts w:ascii="Calibri" w:hAnsi="Calibri" w:cs="Calibri"/>
                <w:lang w:val="en-US"/>
              </w:rPr>
              <w:t>Yes, duties under Law 1931 of 2018 vary across the targeted entities in the domain of transition planning.</w:t>
            </w:r>
          </w:p>
          <w:p w14:paraId="50FB5B3B" w14:textId="77777777" w:rsidR="00604A32" w:rsidRPr="00604A32" w:rsidRDefault="00604A32" w:rsidP="00604A32">
            <w:pPr>
              <w:rPr>
                <w:rFonts w:ascii="Calibri" w:hAnsi="Calibri" w:cs="Calibri"/>
                <w:lang w:val="en-US"/>
              </w:rPr>
            </w:pPr>
            <w:r w:rsidRPr="00604A32">
              <w:rPr>
                <w:rFonts w:ascii="Calibri" w:hAnsi="Calibri" w:cs="Calibri"/>
                <w:lang w:val="en-US"/>
              </w:rPr>
              <w:t>National ministries are required to formulate and implement Planes Integrales de Gestión del Cambio Climático Sectoriales (PIGCCS), which must include mitigation targets, decarbonization pathways, and sector-specific strategies. These plans are mandatory and must be reported annually to Congress (Article 7.6).</w:t>
            </w:r>
          </w:p>
          <w:p w14:paraId="55E7C72A" w14:textId="77777777" w:rsidR="00604A32" w:rsidRPr="00604A32" w:rsidRDefault="00604A32" w:rsidP="00604A32">
            <w:pPr>
              <w:rPr>
                <w:rFonts w:ascii="Calibri" w:hAnsi="Calibri" w:cs="Calibri"/>
                <w:lang w:val="en-US"/>
              </w:rPr>
            </w:pPr>
            <w:r w:rsidRPr="00604A32">
              <w:rPr>
                <w:rFonts w:ascii="Calibri" w:hAnsi="Calibri" w:cs="Calibri"/>
                <w:lang w:val="en-US"/>
              </w:rPr>
              <w:t>Regional governments (departments) and local governments (municipalities and districts) must develop Planes Integrales de Gestión del Cambio Climático Territoriales (PIGCCT). These plans are also mandatory and must align with national climate goals. They include adaptation and mitigation measures tailored to local vulnerabilities and emissions profiles (Articles 8–9).</w:t>
            </w:r>
          </w:p>
          <w:p w14:paraId="37D08334" w14:textId="3598E662" w:rsidR="00604A32" w:rsidRPr="00604A32" w:rsidRDefault="00604A32" w:rsidP="00604A32">
            <w:pPr>
              <w:rPr>
                <w:rFonts w:ascii="Calibri" w:hAnsi="Calibri" w:cs="Calibri"/>
                <w:lang w:val="en-US"/>
              </w:rPr>
            </w:pPr>
            <w:r w:rsidRPr="00604A32">
              <w:rPr>
                <w:rFonts w:ascii="Calibri" w:hAnsi="Calibri" w:cs="Calibri"/>
                <w:lang w:val="en-US"/>
              </w:rPr>
              <w:t>Private sector entities—including publicly traded companies, SMEs, and financial institutions—are encouraged to participate in mitigation and transition efforts, but their involvement is voluntary. They may engage through programs like RENARE or PNCTE, but the law does not impose binding transition planning obligations on them</w:t>
            </w:r>
            <w:r w:rsidR="006C2605">
              <w:rPr>
                <w:rFonts w:ascii="Calibri" w:hAnsi="Calibri" w:cs="Calibri"/>
                <w:lang w:val="en-US"/>
              </w:rPr>
              <w:t>.</w:t>
            </w:r>
          </w:p>
          <w:p w14:paraId="41EA3B18" w14:textId="77777777" w:rsidR="004F276F" w:rsidRPr="00604A32"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6621FC95" w:rsidR="004F276F" w:rsidRPr="00C37D48" w:rsidRDefault="00604A32" w:rsidP="00C37D48">
            <w:pPr>
              <w:rPr>
                <w:rFonts w:ascii="Calibri" w:hAnsi="Calibri" w:cs="Calibri"/>
              </w:rPr>
            </w:pPr>
            <w:r w:rsidRPr="00604A32">
              <w:rPr>
                <w:rFonts w:ascii="Calibri" w:hAnsi="Calibri" w:cs="Calibri"/>
              </w:rPr>
              <w:t>Not specified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304ADF30" w:rsidR="004F276F" w:rsidRPr="00C37D48" w:rsidRDefault="00604A32" w:rsidP="00C37D48">
            <w:pPr>
              <w:rPr>
                <w:rFonts w:ascii="Calibri" w:hAnsi="Calibri" w:cs="Calibri"/>
              </w:rPr>
            </w:pPr>
            <w:r w:rsidRPr="00604A32">
              <w:rPr>
                <w:rFonts w:ascii="Calibri" w:hAnsi="Calibri" w:cs="Calibri"/>
              </w:rPr>
              <w:t>Not specified</w:t>
            </w: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054331E7" w:rsidR="004F276F" w:rsidRPr="00C37D48" w:rsidRDefault="00604A32" w:rsidP="00C37D48">
            <w:pPr>
              <w:rPr>
                <w:rFonts w:ascii="Calibri" w:hAnsi="Calibri" w:cs="Calibri"/>
                <w:lang w:val="sv-SE"/>
              </w:rPr>
            </w:pPr>
            <w:r w:rsidRPr="00604A32">
              <w:rPr>
                <w:rFonts w:ascii="Calibri" w:hAnsi="Calibri" w:cs="Calibri"/>
              </w:rPr>
              <w:t>Not specified</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B0DA87C" w:rsidR="004F276F" w:rsidRPr="00C37D48" w:rsidRDefault="00604A32" w:rsidP="00C37D48">
            <w:pPr>
              <w:rPr>
                <w:rFonts w:ascii="Calibri" w:hAnsi="Calibri" w:cs="Calibri"/>
              </w:rPr>
            </w:pPr>
            <w:r w:rsidRPr="00604A32">
              <w:rPr>
                <w:rFonts w:ascii="Calibri" w:hAnsi="Calibri" w:cs="Calibri"/>
              </w:rPr>
              <w:t>Not 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DEC4443" w:rsidR="004F276F" w:rsidRPr="00C37D48" w:rsidRDefault="00604A32" w:rsidP="00C37D48">
            <w:pPr>
              <w:rPr>
                <w:rFonts w:ascii="Calibri" w:hAnsi="Calibri" w:cs="Calibri"/>
              </w:rPr>
            </w:pPr>
            <w:r w:rsidRPr="00604A32">
              <w:rPr>
                <w:rFonts w:ascii="Calibri" w:hAnsi="Calibri" w:cs="Calibri"/>
              </w:rPr>
              <w:t>The law applies to all public and private entities operating within Colombia.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0548CBFA" w:rsidR="004F276F" w:rsidRPr="00C37D48" w:rsidRDefault="00604A32" w:rsidP="00C37D48">
            <w:pPr>
              <w:rPr>
                <w:rFonts w:ascii="Calibri" w:hAnsi="Calibri" w:cs="Calibri"/>
              </w:rPr>
            </w:pPr>
            <w:r w:rsidRPr="00604A32">
              <w:rPr>
                <w:rFonts w:ascii="Calibri" w:hAnsi="Calibri" w:cs="Calibri"/>
              </w:rPr>
              <w:t>Duties are assigned based on institutional role and legal mandate—e.g., ministries, departments, municipalities, and environmental authorities are required to develop and implement climate plans (PIGCCS and PIGCCT) according to their jurisdictional and sectoral responsibilities.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985A79F" w:rsidR="004F276F" w:rsidRPr="00C37D48" w:rsidRDefault="00604A32"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83538C4" w:rsidR="004F276F" w:rsidRPr="00C37D48" w:rsidRDefault="00604A32"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7A31533" w:rsidR="00711F61" w:rsidRPr="00604A32" w:rsidRDefault="00604A32" w:rsidP="00C37D48">
            <w:pPr>
              <w:rPr>
                <w:rFonts w:ascii="Calibri" w:hAnsi="Calibri" w:cs="Calibri"/>
              </w:rPr>
            </w:pPr>
            <w:r w:rsidRPr="00604A32">
              <w:rPr>
                <w:rFonts w:ascii="Calibri" w:hAnsi="Calibri" w:cs="Calibri"/>
              </w:rPr>
              <w:t>Law 1931 of 2018 establishes in Article 32 that the Ministry of Environment and Sustainable Development may impose monetary fines on regulated entities that fail to comply with obligations under the emissions trading system (PNCTE). These fines can be up to twice the value of the unbacked emissions, calculated using the most recent auction price. The criteria and procedures for applying these sanctions must follow the rules set out in Article 50 of Law 1437 of 2011.</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4A07C1ED" w:rsidR="001F30DE" w:rsidRPr="00C37D48" w:rsidRDefault="00604A32"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F06C02F" w14:textId="77777777" w:rsidR="00604A32" w:rsidRPr="00604A32" w:rsidRDefault="00604A32" w:rsidP="00604A32">
            <w:pPr>
              <w:rPr>
                <w:rFonts w:ascii="Calibri" w:hAnsi="Calibri" w:cs="Calibri"/>
                <w:lang w:val="en-US"/>
              </w:rPr>
            </w:pPr>
            <w:r w:rsidRPr="00604A32">
              <w:rPr>
                <w:rFonts w:ascii="Calibri" w:hAnsi="Calibri" w:cs="Calibri"/>
                <w:lang w:val="en-US"/>
              </w:rPr>
              <w:t>There is clear evidence that the voluntary components of Law 1931 of 2018 are being implemented. The law mandates the creation of systems such as the Sistema Nacional de Información sobre Cambio Climático (SNICC) and the Registro Nacional de Reducción de las Emisiones de Gases de Efecto Invernadero (RENARE), which are operational and managed by IDEAM under the coordination of the Ministry of Environment and Sustainable Development.</w:t>
            </w:r>
          </w:p>
          <w:p w14:paraId="4107B9E5" w14:textId="77777777" w:rsidR="00604A32" w:rsidRPr="00604A32" w:rsidRDefault="00604A32" w:rsidP="00604A32">
            <w:pPr>
              <w:rPr>
                <w:rFonts w:ascii="Calibri" w:hAnsi="Calibri" w:cs="Calibri"/>
                <w:lang w:val="en-US"/>
              </w:rPr>
            </w:pPr>
            <w:r w:rsidRPr="00604A32">
              <w:rPr>
                <w:rFonts w:ascii="Calibri" w:hAnsi="Calibri" w:cs="Calibri"/>
                <w:lang w:val="en-US"/>
              </w:rPr>
              <w:t xml:space="preserve">Additionally, the law provides for funding mechanisms like the Fondo Nacional Ambiental (FONAM) and the General System of Royalties, which earmarks 1% for climate-related research and innovation projects (Article 28, paragraph). These instruments support voluntary </w:t>
            </w:r>
            <w:r w:rsidRPr="00604A32">
              <w:rPr>
                <w:rFonts w:ascii="Calibri" w:hAnsi="Calibri" w:cs="Calibri"/>
                <w:lang w:val="en-US"/>
              </w:rPr>
              <w:lastRenderedPageBreak/>
              <w:t>participation in emissions reporting, mitigation initiatives, and climate planning by both public and private actors.</w:t>
            </w:r>
          </w:p>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77D394A" w:rsidR="001F30DE" w:rsidRPr="00C37D48" w:rsidRDefault="00E068F1"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983038C"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422BEEEC" w:rsidR="001F30DE" w:rsidRPr="00C37D48" w:rsidRDefault="00E068F1"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79B8621" w14:textId="77777777" w:rsidR="00E068F1" w:rsidRPr="00E068F1" w:rsidRDefault="00E068F1" w:rsidP="00E068F1">
            <w:pPr>
              <w:rPr>
                <w:rFonts w:ascii="Calibri" w:hAnsi="Calibri" w:cs="Calibri"/>
              </w:rPr>
            </w:pPr>
            <w:r w:rsidRPr="00E068F1">
              <w:rPr>
                <w:rFonts w:ascii="Calibri" w:hAnsi="Calibri" w:cs="Calibri"/>
              </w:rPr>
              <w:t>Law 1931 of 2018 has been involved in litigation.</w:t>
            </w:r>
            <w:r w:rsidRPr="00E068F1">
              <w:rPr>
                <w:rFonts w:ascii="Calibri" w:hAnsi="Calibri" w:cs="Calibri"/>
              </w:rPr>
              <w:br/>
            </w:r>
          </w:p>
          <w:p w14:paraId="6646114E" w14:textId="6A42CE03" w:rsidR="001F30DE" w:rsidRPr="00E068F1" w:rsidRDefault="00E068F1" w:rsidP="00E068F1">
            <w:pPr>
              <w:rPr>
                <w:rFonts w:ascii="Calibri" w:hAnsi="Calibri" w:cs="Calibri"/>
              </w:rPr>
            </w:pPr>
            <w:r w:rsidRPr="00E068F1">
              <w:rPr>
                <w:rFonts w:ascii="Calibri" w:hAnsi="Calibri" w:cs="Calibri"/>
              </w:rPr>
              <w:t>Citizens and NGOs v. Ministry of Environment and Ministry of Mines and Energy – Plaintiffs alleged non-compliance with obligations under Law 1931 of 2018 and Law 2169 of 2021 regarding climate action</w:t>
            </w:r>
            <w:r w:rsidRPr="00E068F1">
              <w:rPr>
                <w:rFonts w:ascii="Calibri" w:hAnsi="Calibri" w:cs="Calibri"/>
              </w:rPr>
              <w:br/>
            </w:r>
            <w:r w:rsidRPr="00E068F1">
              <w:rPr>
                <w:rFonts w:ascii="Calibri" w:hAnsi="Calibri" w:cs="Calibri"/>
              </w:rPr>
              <w:br/>
              <w:t>Indigenous Community “Gran Cumbal” v. REDD+ Project Developers – The plaintiffs argued that the implementation of a carbon credit project violated rights protected under Law 1931 of 2018, including environmental justice and Indigenous consultation</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279739DA" w:rsidR="004F48E8" w:rsidRPr="00C37D48" w:rsidRDefault="00E068F1"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301F3B5" w:rsidR="000A1365" w:rsidRPr="00C37D48" w:rsidRDefault="00E068F1"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17A3FE7" w14:textId="77777777" w:rsidR="00E068F1" w:rsidRPr="00E068F1" w:rsidRDefault="00E068F1" w:rsidP="00E068F1">
            <w:pPr>
              <w:rPr>
                <w:rFonts w:ascii="Calibri" w:hAnsi="Calibri" w:cs="Calibri"/>
                <w:lang w:val="en-US"/>
              </w:rPr>
            </w:pPr>
            <w:r w:rsidRPr="00E068F1">
              <w:rPr>
                <w:rFonts w:ascii="Calibri" w:hAnsi="Calibri" w:cs="Calibri"/>
                <w:lang w:val="en-US"/>
              </w:rPr>
              <w:t>Yes, the entities required to have or develop climate-related targets under Law 1931 of 2018 differ from those identified in Q2.1.</w:t>
            </w:r>
          </w:p>
          <w:p w14:paraId="59F2507E" w14:textId="77777777" w:rsidR="00E068F1" w:rsidRPr="00E068F1" w:rsidRDefault="00E068F1" w:rsidP="00E068F1">
            <w:pPr>
              <w:rPr>
                <w:rFonts w:ascii="Calibri" w:hAnsi="Calibri" w:cs="Calibri"/>
                <w:lang w:val="en-US"/>
              </w:rPr>
            </w:pPr>
            <w:r w:rsidRPr="00E068F1">
              <w:rPr>
                <w:rFonts w:ascii="Calibri" w:hAnsi="Calibri" w:cs="Calibri"/>
                <w:lang w:val="en-US"/>
              </w:rPr>
              <w:t>Public entities—specifically national ministries, departments, and municipalities—are mandated to develop climate-related targets through their sectoral and territorial climate plans (PIGCCS and PIGCCT), as outlined in Articles 17 and 18 of the law. These targets are part of their legal obligations and must align with Colombia’s national climate goals.</w:t>
            </w:r>
          </w:p>
          <w:p w14:paraId="4006C7DE" w14:textId="77777777" w:rsidR="00E068F1" w:rsidRPr="00E068F1" w:rsidRDefault="00E068F1" w:rsidP="00E068F1">
            <w:pPr>
              <w:rPr>
                <w:rFonts w:ascii="Calibri" w:hAnsi="Calibri" w:cs="Calibri"/>
                <w:lang w:val="en-US"/>
              </w:rPr>
            </w:pPr>
            <w:r w:rsidRPr="00E068F1">
              <w:rPr>
                <w:rFonts w:ascii="Calibri" w:hAnsi="Calibri" w:cs="Calibri"/>
                <w:lang w:val="en-US"/>
              </w:rPr>
              <w:t>In contrast, private sector entities such as publicly traded companies, SMEs, and financial institutions are not required to develop such targets. Their participation is voluntary, and while they are encouraged to align with national strategies or participate in programs like RENARE or PNCTE, they are not subject to the same compliance thresholds or enforcement mechanisms.</w:t>
            </w:r>
          </w:p>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2213F696" w:rsidR="00850F36" w:rsidRPr="00C37D48" w:rsidRDefault="00E068F1"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6493A52" w:rsidR="00850F36" w:rsidRPr="00C37D48" w:rsidRDefault="00E068F1"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0EA3F642" w:rsidR="00850F36" w:rsidRPr="00C37D48" w:rsidRDefault="00E068F1"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2B8420D3" w:rsidR="00850F36" w:rsidRPr="00C37D48" w:rsidRDefault="00E068F1"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4779023" w:rsidR="00850F36" w:rsidRPr="00C37D48" w:rsidRDefault="00E068F1"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25C60EE" w:rsidR="00850F36" w:rsidRPr="00C37D48" w:rsidRDefault="00E068F1"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9ED8A03" w:rsidR="00850F36" w:rsidRPr="00C37D48" w:rsidRDefault="00E068F1"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762BB237" w:rsidR="00850F36" w:rsidRPr="00C37D48" w:rsidRDefault="00E068F1"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3E828895" w:rsidR="00850F36" w:rsidRPr="00C37D48" w:rsidRDefault="00E068F1"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653AF08" w:rsidR="00850F36" w:rsidRPr="00C37D48" w:rsidRDefault="00E068F1"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6C0753FF" w:rsidR="00850F36" w:rsidRPr="00C37D48" w:rsidRDefault="00E068F1"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CAA8445" w:rsidR="00850F36" w:rsidRPr="00C37D48" w:rsidRDefault="00E068F1"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5C52307" w14:textId="77777777" w:rsidR="00E068F1" w:rsidRPr="00E068F1" w:rsidRDefault="00E068F1" w:rsidP="00E068F1">
            <w:pPr>
              <w:rPr>
                <w:rFonts w:ascii="Calibri" w:hAnsi="Calibri" w:cs="Calibri"/>
                <w:lang w:val="en-US"/>
              </w:rPr>
            </w:pPr>
            <w:r w:rsidRPr="00E068F1">
              <w:rPr>
                <w:rFonts w:ascii="Calibri" w:hAnsi="Calibri" w:cs="Calibri"/>
                <w:lang w:val="en-US"/>
              </w:rPr>
              <w:t>Law 1931 of 2018 requires public entities—such as ministries, departments, and municipalities—to develop climate-related targets as part of their mandatory climate planning instruments:</w:t>
            </w:r>
          </w:p>
          <w:p w14:paraId="66DDA253" w14:textId="77777777" w:rsidR="00E068F1" w:rsidRPr="00E068F1" w:rsidRDefault="00E068F1" w:rsidP="00E068F1">
            <w:pPr>
              <w:rPr>
                <w:rFonts w:ascii="Calibri" w:hAnsi="Calibri" w:cs="Calibri"/>
                <w:lang w:val="en-US"/>
              </w:rPr>
            </w:pPr>
            <w:r w:rsidRPr="00E068F1">
              <w:rPr>
                <w:rFonts w:ascii="Calibri" w:hAnsi="Calibri" w:cs="Calibri"/>
                <w:lang w:val="en-US"/>
              </w:rPr>
              <w:t>Article 17 mandates that each ministry formulate a Plan Integral de Gestión del Cambio Climático Sectorial (PIGCCS), which must include mitigation targets and sector-specific strategies.</w:t>
            </w:r>
          </w:p>
          <w:p w14:paraId="5FA941BC" w14:textId="77777777" w:rsidR="00E068F1" w:rsidRPr="00E068F1" w:rsidRDefault="00E068F1" w:rsidP="00E068F1">
            <w:pPr>
              <w:rPr>
                <w:rFonts w:ascii="Calibri" w:hAnsi="Calibri" w:cs="Calibri"/>
                <w:lang w:val="en-US"/>
              </w:rPr>
            </w:pPr>
            <w:r w:rsidRPr="00E068F1">
              <w:rPr>
                <w:rFonts w:ascii="Calibri" w:hAnsi="Calibri" w:cs="Calibri"/>
                <w:lang w:val="en-US"/>
              </w:rPr>
              <w:t>Article 18 requires departments and regional environmental authorities to develop Planes Integrales de Gestión del Cambio Climático Territoriales (PIGCCT), based on emissions inventories and vulnerability assessments.</w:t>
            </w:r>
          </w:p>
          <w:p w14:paraId="7B4BC59A" w14:textId="77777777" w:rsidR="00E068F1" w:rsidRPr="00E068F1" w:rsidRDefault="00E068F1" w:rsidP="00E068F1">
            <w:pPr>
              <w:rPr>
                <w:rFonts w:ascii="Calibri" w:hAnsi="Calibri" w:cs="Calibri"/>
                <w:lang w:val="en-US"/>
              </w:rPr>
            </w:pPr>
            <w:r w:rsidRPr="00E068F1">
              <w:rPr>
                <w:rFonts w:ascii="Calibri" w:hAnsi="Calibri" w:cs="Calibri"/>
                <w:lang w:val="en-US"/>
              </w:rPr>
              <w:t>Article 12 recommends integrating renewable energy and energy efficiency targets into development plans, referencing Law 1715 of 2014.</w:t>
            </w:r>
          </w:p>
          <w:p w14:paraId="24E88BE6" w14:textId="77777777" w:rsidR="00E068F1" w:rsidRPr="00E068F1" w:rsidRDefault="00E068F1" w:rsidP="00E068F1">
            <w:pPr>
              <w:rPr>
                <w:rFonts w:ascii="Calibri" w:hAnsi="Calibri" w:cs="Calibri"/>
                <w:lang w:val="en-US"/>
              </w:rPr>
            </w:pPr>
            <w:r w:rsidRPr="00E068F1">
              <w:rPr>
                <w:rFonts w:ascii="Calibri" w:hAnsi="Calibri" w:cs="Calibri"/>
                <w:lang w:val="en-US"/>
              </w:rPr>
              <w:t>Article 18, Paragraph 2 recommends including ecosystem-based adaptation actions and protected area management in territorial plans, supporting nature and biodiversity goals.</w:t>
            </w:r>
          </w:p>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6E210AC6" w:rsidR="000A1365" w:rsidRPr="00C37D48" w:rsidRDefault="00E068F1"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EDBB1A1" w:rsidR="00C81DE5" w:rsidRPr="00C37D48" w:rsidRDefault="003567A9"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13E41331" w:rsidR="000A1365" w:rsidRPr="00C37D48" w:rsidRDefault="003567A9"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08C3935F" w:rsidR="000A1365" w:rsidRPr="00C37D48" w:rsidRDefault="003567A9"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588F3151" w:rsidR="000A1365" w:rsidRPr="00C37D48" w:rsidRDefault="003567A9"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3734E04A" w14:textId="3047BE16" w:rsidR="003567A9" w:rsidRPr="003567A9" w:rsidRDefault="003567A9" w:rsidP="003567A9">
            <w:pPr>
              <w:rPr>
                <w:rFonts w:ascii="Calibri" w:hAnsi="Calibri" w:cs="Calibri"/>
                <w:lang w:val="en-US"/>
              </w:rPr>
            </w:pPr>
            <w:r w:rsidRPr="003567A9">
              <w:rPr>
                <w:rFonts w:ascii="Calibri" w:hAnsi="Calibri" w:cs="Calibri"/>
                <w:lang w:val="en-US"/>
              </w:rPr>
              <w:t>Law 1931 of 2018 establishes that the initial planning horizon for both sectoral and territorial climate change management plans (PIGCCS and PIGCCT) is 2029, after which the planning horizon extends to 20 years (i.e., potentially up to 2049 or beyond depending on the update cycle) </w:t>
            </w:r>
          </w:p>
          <w:p w14:paraId="028D4AA8" w14:textId="77777777" w:rsidR="003567A9" w:rsidRPr="003567A9" w:rsidRDefault="003567A9" w:rsidP="003567A9">
            <w:pPr>
              <w:rPr>
                <w:rFonts w:ascii="Calibri" w:hAnsi="Calibri" w:cs="Calibri"/>
                <w:lang w:val="en-US"/>
              </w:rPr>
            </w:pPr>
            <w:r w:rsidRPr="003567A9">
              <w:rPr>
                <w:rFonts w:ascii="Calibri" w:hAnsi="Calibri" w:cs="Calibri"/>
                <w:lang w:val="en-US"/>
              </w:rPr>
              <w:lastRenderedPageBreak/>
              <w:t>This means that while the law does not set a single fixed target year like “net zero by 2050,” it does define a structured timeline for planning and reviewing emissions reduction and adaptation measures, aligning with transition planning principles.</w:t>
            </w:r>
          </w:p>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6350FE" w:rsidR="000A1365" w:rsidRPr="00C37D48" w:rsidRDefault="003567A9"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6936556B" w:rsidR="000A1365" w:rsidRPr="00C37D48" w:rsidRDefault="003567A9"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244BE18F" w:rsidR="000A1365" w:rsidRPr="00C37D48" w:rsidRDefault="003567A9"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3A070C53" w:rsidR="000A1365" w:rsidRPr="00C37D48" w:rsidRDefault="003567A9"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6B7A88C" w:rsidR="000A1365" w:rsidRPr="00C37D48" w:rsidRDefault="003567A9"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3591D38D" w:rsidR="003A2E5E" w:rsidRPr="00C37D48" w:rsidRDefault="003567A9"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56FEAB6B" w:rsidR="000A1365" w:rsidRPr="00C37D48" w:rsidRDefault="003567A9"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10E9E826" w14:textId="77777777" w:rsidR="003567A9" w:rsidRPr="003567A9" w:rsidRDefault="003567A9" w:rsidP="003567A9">
            <w:pPr>
              <w:rPr>
                <w:rFonts w:ascii="Calibri" w:hAnsi="Calibri" w:cs="Calibri"/>
                <w:lang w:val="en-US"/>
              </w:rPr>
            </w:pPr>
            <w:r w:rsidRPr="003567A9">
              <w:rPr>
                <w:rFonts w:ascii="Calibri" w:hAnsi="Calibri" w:cs="Calibri"/>
                <w:lang w:val="en-US"/>
              </w:rPr>
              <w:t>Law 1931 of 2018 recommends the development of interim GHG emissions reduction targets through several planning instruments, but it does not explicitly require them.</w:t>
            </w:r>
          </w:p>
          <w:p w14:paraId="787BBC0A" w14:textId="77777777" w:rsidR="003567A9" w:rsidRPr="003567A9" w:rsidRDefault="003567A9" w:rsidP="003567A9">
            <w:pPr>
              <w:rPr>
                <w:rFonts w:ascii="Calibri" w:hAnsi="Calibri" w:cs="Calibri"/>
                <w:lang w:val="en-US"/>
              </w:rPr>
            </w:pPr>
            <w:r w:rsidRPr="003567A9">
              <w:rPr>
                <w:rFonts w:ascii="Calibri" w:hAnsi="Calibri" w:cs="Calibri"/>
                <w:lang w:val="en-US"/>
              </w:rPr>
              <w:t>Article 15 refers to Colombia’s Nationally Determined Contributions (NDCs), which are defined and updated by relevant ministries and presented to the UNFCCC. These contributions must become increasingly ambitious over time, implying the need for interim targets to track progress.</w:t>
            </w:r>
          </w:p>
          <w:p w14:paraId="3DE9BB5A" w14:textId="77777777" w:rsidR="003567A9" w:rsidRPr="003567A9" w:rsidRDefault="003567A9" w:rsidP="003567A9">
            <w:pPr>
              <w:rPr>
                <w:rFonts w:ascii="Calibri" w:hAnsi="Calibri" w:cs="Calibri"/>
                <w:lang w:val="en-US"/>
              </w:rPr>
            </w:pPr>
            <w:r w:rsidRPr="003567A9">
              <w:rPr>
                <w:rFonts w:ascii="Calibri" w:hAnsi="Calibri" w:cs="Calibri"/>
                <w:lang w:val="en-US"/>
              </w:rPr>
              <w:t>Article 20 establishes that both sectoral and territorial climate plans (PIGCCS and PIGCCT) must have an initial planning horizon to 2029, followed by 20-year cycles. These plans are to be reviewed and adjusted based on updated data on GHG emissions, vulnerability, and adaptation needs—again suggesting the use of interim milestones.</w:t>
            </w:r>
          </w:p>
          <w:p w14:paraId="7E8ED2C6" w14:textId="53350100" w:rsidR="000A1365" w:rsidRPr="003567A9" w:rsidRDefault="003567A9" w:rsidP="003567A9">
            <w:pPr>
              <w:rPr>
                <w:rFonts w:ascii="Calibri" w:hAnsi="Calibri" w:cs="Calibri"/>
              </w:rPr>
            </w:pPr>
            <w:r w:rsidRPr="003567A9">
              <w:rPr>
                <w:rFonts w:ascii="Calibri" w:hAnsi="Calibri" w:cs="Calibri"/>
                <w:lang w:val="en-US"/>
              </w:rPr>
              <w:t xml:space="preserve">While the law does not mandate specific interim targets, it clearly encourages a structured, time-bound approach to emissions planning, consistent with transition planning principles. </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AC8B8A1" w:rsidR="000A1365" w:rsidRPr="00C37D48" w:rsidRDefault="003567A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97F2BB3" w:rsidR="000A1365" w:rsidRPr="00C37D48" w:rsidRDefault="003567A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357FE402" w:rsidR="00D9431B" w:rsidRPr="00C37D48" w:rsidRDefault="003567A9"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0771A338" w14:textId="77777777" w:rsidR="003567A9" w:rsidRPr="003567A9" w:rsidRDefault="003567A9" w:rsidP="003567A9">
            <w:pPr>
              <w:rPr>
                <w:rFonts w:ascii="Calibri" w:hAnsi="Calibri" w:cs="Calibri"/>
                <w:lang w:val="en-US"/>
              </w:rPr>
            </w:pPr>
            <w:r w:rsidRPr="003567A9">
              <w:rPr>
                <w:rFonts w:ascii="Calibri" w:hAnsi="Calibri" w:cs="Calibri"/>
                <w:lang w:val="en-US"/>
              </w:rPr>
              <w:t>Law 1931 of 2018 requires certification and verification standards for the use of offsetting or removals:</w:t>
            </w:r>
          </w:p>
          <w:p w14:paraId="2D8F52DE" w14:textId="77777777" w:rsidR="003567A9" w:rsidRPr="003567A9" w:rsidRDefault="003567A9" w:rsidP="003567A9">
            <w:pPr>
              <w:rPr>
                <w:rFonts w:ascii="Calibri" w:hAnsi="Calibri" w:cs="Calibri"/>
                <w:lang w:val="en-US"/>
              </w:rPr>
            </w:pPr>
            <w:r w:rsidRPr="003567A9">
              <w:rPr>
                <w:rFonts w:ascii="Calibri" w:hAnsi="Calibri" w:cs="Calibri"/>
                <w:lang w:val="en-US"/>
              </w:rPr>
              <w:t>Article 30 establishes the </w:t>
            </w:r>
            <w:r w:rsidRPr="003567A9">
              <w:rPr>
                <w:rFonts w:ascii="Calibri" w:hAnsi="Calibri" w:cs="Calibri"/>
                <w:i/>
                <w:iCs/>
                <w:lang w:val="en-US"/>
              </w:rPr>
              <w:t>Programa Nacional de Cupos Transables de Emisión de Gases de Efecto Invernadero (PNCTE)</w:t>
            </w:r>
            <w:r w:rsidRPr="003567A9">
              <w:rPr>
                <w:rFonts w:ascii="Calibri" w:hAnsi="Calibri" w:cs="Calibri"/>
                <w:lang w:val="en-US"/>
              </w:rPr>
              <w:t>, which includes the verification and certification of emission reductions or removals resulting from voluntary initiatives.</w:t>
            </w:r>
          </w:p>
          <w:p w14:paraId="6E6AD8FA" w14:textId="77777777" w:rsidR="003567A9" w:rsidRPr="003567A9" w:rsidRDefault="003567A9" w:rsidP="003567A9">
            <w:pPr>
              <w:rPr>
                <w:rFonts w:ascii="Calibri" w:hAnsi="Calibri" w:cs="Calibri"/>
                <w:lang w:val="en-US"/>
              </w:rPr>
            </w:pPr>
            <w:r w:rsidRPr="003567A9">
              <w:rPr>
                <w:rFonts w:ascii="Calibri" w:hAnsi="Calibri" w:cs="Calibri"/>
                <w:lang w:val="en-US"/>
              </w:rPr>
              <w:t>These reductions or removals must be verified, certified, and registered in the </w:t>
            </w:r>
            <w:r w:rsidRPr="003567A9">
              <w:rPr>
                <w:rFonts w:ascii="Calibri" w:hAnsi="Calibri" w:cs="Calibri"/>
                <w:i/>
                <w:iCs/>
                <w:lang w:val="en-US"/>
              </w:rPr>
              <w:t>Registro Nacional de Reducción de las Emisiones de GEl (RENARE)</w:t>
            </w:r>
            <w:r w:rsidRPr="003567A9">
              <w:rPr>
                <w:rFonts w:ascii="Calibri" w:hAnsi="Calibri" w:cs="Calibri"/>
                <w:lang w:val="en-US"/>
              </w:rPr>
              <w:t> to ensure transparency and avoid double counting.</w:t>
            </w:r>
          </w:p>
          <w:p w14:paraId="1412CFDB" w14:textId="77777777" w:rsidR="003567A9" w:rsidRPr="003567A9" w:rsidRDefault="003567A9" w:rsidP="003567A9">
            <w:pPr>
              <w:rPr>
                <w:rFonts w:ascii="Calibri" w:hAnsi="Calibri" w:cs="Calibri"/>
                <w:lang w:val="en-US"/>
              </w:rPr>
            </w:pPr>
            <w:r w:rsidRPr="003567A9">
              <w:rPr>
                <w:rFonts w:ascii="Calibri" w:hAnsi="Calibri" w:cs="Calibri"/>
                <w:lang w:val="en-US"/>
              </w:rPr>
              <w:t>Article 31 further mandates that emissions, reductions, and removals must be verifiable by an independent third-party organization accredited for this purpose.</w:t>
            </w:r>
          </w:p>
          <w:p w14:paraId="30BCC0BA" w14:textId="77777777" w:rsidR="003567A9" w:rsidRPr="003567A9" w:rsidRDefault="003567A9" w:rsidP="003567A9">
            <w:pPr>
              <w:rPr>
                <w:rFonts w:ascii="Calibri" w:hAnsi="Calibri" w:cs="Calibri"/>
                <w:lang w:val="en-US"/>
              </w:rPr>
            </w:pPr>
            <w:r w:rsidRPr="003567A9">
              <w:rPr>
                <w:rFonts w:ascii="Calibri" w:hAnsi="Calibri" w:cs="Calibri"/>
                <w:lang w:val="en-US"/>
              </w:rPr>
              <w:t>These provisions align with transition planning principles by ensuring that offsetting and removals are credible, traceable, and standardized.</w:t>
            </w:r>
          </w:p>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7E5D332C" w14:textId="77777777" w:rsidR="003567A9" w:rsidRPr="003567A9" w:rsidRDefault="003567A9" w:rsidP="003567A9">
            <w:pPr>
              <w:rPr>
                <w:rFonts w:ascii="Calibri" w:hAnsi="Calibri" w:cs="Calibri"/>
                <w:lang w:val="en-US"/>
              </w:rPr>
            </w:pPr>
            <w:r w:rsidRPr="003567A9">
              <w:rPr>
                <w:rFonts w:ascii="Calibri" w:hAnsi="Calibri" w:cs="Calibri"/>
                <w:lang w:val="en-US"/>
              </w:rPr>
              <w:t>Yes, Law 1931 of 2018 includes specific requirements regarding the appropriate use of offsets. Article 30 establishes the </w:t>
            </w:r>
            <w:r w:rsidRPr="003567A9">
              <w:rPr>
                <w:rFonts w:ascii="Calibri" w:hAnsi="Calibri" w:cs="Calibri"/>
                <w:i/>
                <w:iCs/>
                <w:lang w:val="en-US"/>
              </w:rPr>
              <w:t>Programa Nacional de Cupos Transables de Emisión de Gases de Efecto Invernadero (PNCTE)</w:t>
            </w:r>
            <w:r w:rsidRPr="003567A9">
              <w:rPr>
                <w:rFonts w:ascii="Calibri" w:hAnsi="Calibri" w:cs="Calibri"/>
                <w:lang w:val="en-US"/>
              </w:rPr>
              <w:t>, which allows for the issuance of tradable emissions allowances and recognizes voluntary initiatives that reduce or remove GHG emissions. These initiatives must be verified, certified, and registered in the </w:t>
            </w:r>
            <w:r w:rsidRPr="003567A9">
              <w:rPr>
                <w:rFonts w:ascii="Calibri" w:hAnsi="Calibri" w:cs="Calibri"/>
                <w:i/>
                <w:iCs/>
                <w:lang w:val="en-US"/>
              </w:rPr>
              <w:t>Registro Nacional de Reducción de las Emisiones de GEl (RENARE)</w:t>
            </w:r>
            <w:r w:rsidRPr="003567A9">
              <w:rPr>
                <w:rFonts w:ascii="Calibri" w:hAnsi="Calibri" w:cs="Calibri"/>
                <w:lang w:val="en-US"/>
              </w:rPr>
              <w:t> to ensure credibility and prevent double counting.</w:t>
            </w:r>
          </w:p>
          <w:p w14:paraId="588129D3" w14:textId="77777777" w:rsidR="003567A9" w:rsidRPr="003567A9" w:rsidRDefault="003567A9" w:rsidP="003567A9">
            <w:pPr>
              <w:rPr>
                <w:rFonts w:ascii="Calibri" w:hAnsi="Calibri" w:cs="Calibri"/>
                <w:lang w:val="en-US"/>
              </w:rPr>
            </w:pPr>
            <w:r w:rsidRPr="003567A9">
              <w:rPr>
                <w:rFonts w:ascii="Calibri" w:hAnsi="Calibri" w:cs="Calibri"/>
                <w:lang w:val="en-US"/>
              </w:rPr>
              <w:t>Additionally, Article 31 mandates that all emissions reductions and removals must be verifiable by an independent third party accredited for this purpose. It also requires the Ministry of Environment and Sustainable Development to regulate the procedures for monitoring, reporting, and verifying these actions. These provisions ensure that offsets are used transparently and reliably, aligning with international standards for environmental integrity</w:t>
            </w:r>
          </w:p>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14C51685" w:rsidR="00890032" w:rsidRPr="00C37D48" w:rsidRDefault="003567A9"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C5671A9" w14:textId="77777777" w:rsidR="003567A9" w:rsidRPr="003567A9" w:rsidRDefault="003567A9" w:rsidP="003567A9">
            <w:pPr>
              <w:rPr>
                <w:rFonts w:ascii="Calibri" w:hAnsi="Calibri" w:cs="Calibri"/>
                <w:lang w:val="en-US"/>
              </w:rPr>
            </w:pPr>
            <w:r w:rsidRPr="003567A9">
              <w:rPr>
                <w:rFonts w:ascii="Calibri" w:hAnsi="Calibri" w:cs="Calibri"/>
                <w:lang w:val="en-US"/>
              </w:rPr>
              <w:t>Yes, the targeted entities for developing a transition plan under Law 1931 of 2018 differ in scope and obligation from those identified in Q2.1. While Q2.1 refers broadly to both public and private actors involved in climate change management (Article 1), the development of structured transition plans—through instruments like the </w:t>
            </w:r>
            <w:r w:rsidRPr="003567A9">
              <w:rPr>
                <w:rFonts w:ascii="Calibri" w:hAnsi="Calibri" w:cs="Calibri"/>
                <w:i/>
                <w:iCs/>
                <w:lang w:val="en-US"/>
              </w:rPr>
              <w:t>Planes Integrales de Gestión del Cambio Climático Sectoriales (PIGCCS)</w:t>
            </w:r>
            <w:r w:rsidRPr="003567A9">
              <w:rPr>
                <w:rFonts w:ascii="Calibri" w:hAnsi="Calibri" w:cs="Calibri"/>
                <w:lang w:val="en-US"/>
              </w:rPr>
              <w:t> and </w:t>
            </w:r>
            <w:r w:rsidRPr="003567A9">
              <w:rPr>
                <w:rFonts w:ascii="Calibri" w:hAnsi="Calibri" w:cs="Calibri"/>
                <w:i/>
                <w:iCs/>
                <w:lang w:val="en-US"/>
              </w:rPr>
              <w:t>Territoriales (PIGCCT)</w:t>
            </w:r>
            <w:r w:rsidRPr="003567A9">
              <w:rPr>
                <w:rFonts w:ascii="Calibri" w:hAnsi="Calibri" w:cs="Calibri"/>
                <w:lang w:val="en-US"/>
              </w:rPr>
              <w:t>—is specifically recommended for ministries, departments, municipalities, and environmental authorities (Articles 17 and 18). These entities are expected to identify, evaluate, and implement mitigation and adaptation measures aligned with national climate goals.</w:t>
            </w:r>
          </w:p>
          <w:p w14:paraId="6B5312E5" w14:textId="77777777" w:rsidR="003567A9" w:rsidRPr="003567A9" w:rsidRDefault="003567A9" w:rsidP="003567A9">
            <w:pPr>
              <w:rPr>
                <w:rFonts w:ascii="Calibri" w:hAnsi="Calibri" w:cs="Calibri"/>
                <w:lang w:val="en-US"/>
              </w:rPr>
            </w:pPr>
            <w:r w:rsidRPr="003567A9">
              <w:rPr>
                <w:rFonts w:ascii="Calibri" w:hAnsi="Calibri" w:cs="Calibri"/>
                <w:lang w:val="en-US"/>
              </w:rPr>
              <w:t xml:space="preserve">The duties related to transition planning are not uniformly mandatory. For example, ministries are required to formulate PIGCCS, but the law does not impose the same level of obligation on private sector actors. Instead, private entities are encouraged to align with national strategies through principles like “autogestión” and “corresponsabilidad” (Article 2), which promote voluntary action in harmony with public policy. This distinction reflects a tiered approach: </w:t>
            </w:r>
            <w:r w:rsidRPr="003567A9">
              <w:rPr>
                <w:rFonts w:ascii="Calibri" w:hAnsi="Calibri" w:cs="Calibri"/>
                <w:lang w:val="en-US"/>
              </w:rPr>
              <w:lastRenderedPageBreak/>
              <w:t>public institutions have defined planning responsibilities, while private actors are encouraged to contribute through voluntary alignment and reporting.</w:t>
            </w:r>
          </w:p>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lastRenderedPageBreak/>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9587546" w:rsidR="003618D4" w:rsidRPr="00C37D48" w:rsidRDefault="00D20C65"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5DA5305" w:rsidR="003618D4" w:rsidRPr="00C37D48" w:rsidRDefault="00D20C65"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007DE95" w:rsidR="003618D4" w:rsidRPr="00C37D48" w:rsidRDefault="00D20C65"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8B24A86" w:rsidR="003618D4" w:rsidRPr="00C37D48" w:rsidRDefault="00D20C65"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FC000EB" w:rsidR="003618D4" w:rsidRPr="00C37D48" w:rsidRDefault="00D20C6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D6A0A35" w:rsidR="003618D4" w:rsidRPr="00C37D48" w:rsidRDefault="00D20C65"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A026A16" w14:textId="77777777" w:rsidR="00D20C65" w:rsidRPr="00D20C65" w:rsidRDefault="00D20C65" w:rsidP="00D20C65">
            <w:pPr>
              <w:rPr>
                <w:rFonts w:ascii="Calibri" w:hAnsi="Calibri" w:cs="Calibri"/>
                <w:lang w:val="en-US"/>
              </w:rPr>
            </w:pPr>
            <w:r w:rsidRPr="00D20C65">
              <w:rPr>
                <w:rFonts w:ascii="Calibri" w:hAnsi="Calibri" w:cs="Calibri"/>
                <w:lang w:val="en-US"/>
              </w:rPr>
              <w:t>Timeframe: Article 20 establishes that both sectoral and territorial climate plans (PIGCCS and PIGCCT) must have an initial planning horizon to 2029, followed by 20-year cycles, with periodic reviews based on updated emissions and vulnerability data.</w:t>
            </w:r>
          </w:p>
          <w:p w14:paraId="19AC964D" w14:textId="77777777" w:rsidR="00D20C65" w:rsidRPr="00D20C65" w:rsidRDefault="00D20C65" w:rsidP="00D20C65">
            <w:pPr>
              <w:rPr>
                <w:rFonts w:ascii="Calibri" w:hAnsi="Calibri" w:cs="Calibri"/>
                <w:lang w:val="en-US"/>
              </w:rPr>
            </w:pPr>
            <w:r w:rsidRPr="00D20C65">
              <w:rPr>
                <w:rFonts w:ascii="Calibri" w:hAnsi="Calibri" w:cs="Calibri"/>
                <w:lang w:val="en-US"/>
              </w:rPr>
              <w:t>Updates: Article 20 also requires that these plans be reviewed and adjusted according to new information generated through the national climate information system.</w:t>
            </w:r>
          </w:p>
          <w:p w14:paraId="0D0EC651" w14:textId="77777777" w:rsidR="00D20C65" w:rsidRPr="00D20C65" w:rsidRDefault="00D20C65" w:rsidP="00D20C65">
            <w:pPr>
              <w:rPr>
                <w:rFonts w:ascii="Calibri" w:hAnsi="Calibri" w:cs="Calibri"/>
                <w:lang w:val="en-US"/>
              </w:rPr>
            </w:pPr>
            <w:r w:rsidRPr="00D20C65">
              <w:rPr>
                <w:rFonts w:ascii="Calibri" w:hAnsi="Calibri" w:cs="Calibri"/>
                <w:lang w:val="en-US"/>
              </w:rPr>
              <w:t>Capital Allocation: Article 23 mandates that public investment projects incorporate climate change management considerations, implying alignment of capital and expenditure planning with climate goals.</w:t>
            </w:r>
          </w:p>
          <w:p w14:paraId="0ADAC9B3" w14:textId="0E2B2DA2" w:rsidR="00D20C65" w:rsidRPr="00D20C65" w:rsidRDefault="00D20C65" w:rsidP="00D20C65">
            <w:pPr>
              <w:rPr>
                <w:rFonts w:ascii="Calibri" w:hAnsi="Calibri" w:cs="Calibri"/>
                <w:lang w:val="en-US"/>
              </w:rPr>
            </w:pPr>
            <w:r w:rsidRPr="00D20C65">
              <w:rPr>
                <w:rFonts w:ascii="Calibri" w:hAnsi="Calibri" w:cs="Calibri"/>
                <w:lang w:val="en-US"/>
              </w:rPr>
              <w:t xml:space="preserve">The law does not explicitly require KPIs, third-party verification of transition plans, or scenario analysis methodologies. </w:t>
            </w:r>
          </w:p>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7E71CE3F" w:rsidR="00E7486E" w:rsidRPr="00C37D48" w:rsidRDefault="00D20C65"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1B6A3D6" w:rsidR="00E7486E" w:rsidRPr="00D20C65" w:rsidRDefault="00D20C65" w:rsidP="00C37D48">
            <w:pPr>
              <w:rPr>
                <w:rFonts w:ascii="Calibri" w:hAnsi="Calibri" w:cs="Calibri"/>
              </w:rPr>
            </w:pPr>
            <w:r w:rsidRPr="00D20C65">
              <w:rPr>
                <w:rFonts w:ascii="Calibri" w:hAnsi="Calibri" w:cs="Calibri"/>
              </w:rPr>
              <w:t>Law 1931 of 2018 recommends that entities monitor progress in implementing their transition plans. Specifically, Articles 17 and 18 state that both sectoral and territorial climate plans (PIGCCS and PIGCCT) must include mechanisms for implementation, follow-up, and evaluation. Additionally, Article 20 requires that these plans be reviewed and adjusted based on updated data from the national climate information system. While not framed as a strict obligation, these provisions clearly encourage ongoing monitoring as part of a structured transition planning process.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0A85126" w:rsidR="00671EA4" w:rsidRPr="00C37D48" w:rsidRDefault="00D20C65"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472751F" w:rsidR="00B610C2" w:rsidRPr="00610F28" w:rsidRDefault="00D20C6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A58B75A" w:rsidR="00B610C2" w:rsidRPr="00610F28" w:rsidRDefault="00D20C6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CA30627" w:rsidR="00B610C2" w:rsidRPr="00610F28" w:rsidRDefault="00D20C6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C39FC42" w:rsidR="00B610C2" w:rsidRPr="00610F28" w:rsidRDefault="00D20C6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48DC470" w:rsidR="00B610C2" w:rsidRPr="00610F28" w:rsidRDefault="00D20C6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7FB1A5D" w:rsidR="00B610C2" w:rsidRPr="00610F28" w:rsidRDefault="00D20C6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5A15F62" w:rsidR="00B610C2" w:rsidRPr="00610F28" w:rsidRDefault="00D20C6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6CE251F" w:rsidR="00B610C2" w:rsidRPr="00610F28" w:rsidRDefault="00D20C6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94ED589" w:rsidR="00B610C2" w:rsidRPr="00610F28" w:rsidRDefault="00D20C6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62A1CBF" w:rsidR="00B610C2" w:rsidRPr="00610F28" w:rsidRDefault="00D20C6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FC627D1"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40BB882B" w14:textId="77777777" w:rsidR="00630A1A" w:rsidRPr="00630A1A" w:rsidRDefault="00630A1A" w:rsidP="00630A1A">
            <w:pPr>
              <w:rPr>
                <w:rFonts w:ascii="Calibri" w:hAnsi="Calibri" w:cs="Calibri"/>
                <w:lang w:val="en-US"/>
              </w:rPr>
            </w:pPr>
            <w:r w:rsidRPr="00630A1A">
              <w:rPr>
                <w:rFonts w:ascii="Calibri" w:hAnsi="Calibri" w:cs="Calibri"/>
                <w:lang w:val="en-US"/>
              </w:rPr>
              <w:t>Law 1931 of 2018 contributes to net zero alignment by establishing a comprehensive national framework for climate governance in Colombia. It mandates the development of sectoral and territorial climate plans (PIGCCS and PIGCCT), which guide ministries and local governments in identifying and implementing mitigation and adaptation measures. These plans are aligned with Colombia’s Nationally Determined Contributions (NDCs) under the UNFCCC and must be updated periodically based on new emissions and vulnerability data (Articles 17–20). The law also creates a national emissions trading system (PNCTE), a climate information system (Article 26), and a registry for verified emissions reductions (RENARE), all of which support transparent and accountable decarbonization pathways.</w:t>
            </w:r>
          </w:p>
          <w:p w14:paraId="7563B3E8" w14:textId="77777777" w:rsidR="00630A1A" w:rsidRPr="00630A1A" w:rsidRDefault="00630A1A" w:rsidP="00630A1A">
            <w:pPr>
              <w:rPr>
                <w:rFonts w:ascii="Calibri" w:hAnsi="Calibri" w:cs="Calibri"/>
                <w:lang w:val="en-US"/>
              </w:rPr>
            </w:pPr>
            <w:r w:rsidRPr="00630A1A">
              <w:rPr>
                <w:rFonts w:ascii="Calibri" w:hAnsi="Calibri" w:cs="Calibri"/>
                <w:lang w:val="en-US"/>
              </w:rPr>
              <w:t>Although the law does not reference international disclosure standards like TCFD or IFRS S2, it lays the groundwork for transition planning by requiring structured, long-term climate strategies and encouraging integration of climate considerations into public investment (Article 23). It also promotes ecosystem-based adaptation, renewable energy, and the use of economic instruments to incentivize emissions reductions. These features make Law 1931 a foundational policy tool for Colombia’s transition to a low-carbon economy, even in the absence of explicit net-zero targets or alignment with global reporting frameworks.</w:t>
            </w:r>
          </w:p>
          <w:p w14:paraId="661AEEE8" w14:textId="77777777" w:rsidR="00250F54" w:rsidRPr="00630A1A" w:rsidRDefault="00250F54" w:rsidP="00610F28">
            <w:pPr>
              <w:rPr>
                <w:rFonts w:ascii="Calibri" w:hAnsi="Calibri" w:cs="Calibri"/>
                <w:lang w:val="en-US"/>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235D426D"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0A499C0C"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1F0F019"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6F181823"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4CB52EA"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6A6CC739"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EA7A627" w:rsidR="00D4323A" w:rsidRPr="00CF2E7C" w:rsidRDefault="00630A1A"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38E0ACA8"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2E4A286B" w14:textId="3638F44F"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1FB4B918"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2B8AB3B9" w14:textId="547F6455"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E81C9B"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6D84FEB1" w14:textId="7CBF5DD3"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2DA8DEC3"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7DC8E64E" w14:textId="284F1402"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630FCDF5" w:rsidR="00D4323A" w:rsidRPr="00CF2E7C" w:rsidRDefault="00630A1A" w:rsidP="00CF2E7C">
            <w:pPr>
              <w:rPr>
                <w:rFonts w:ascii="Calibri" w:hAnsi="Calibri" w:cs="Calibri"/>
              </w:rPr>
            </w:pPr>
            <w:r>
              <w:rPr>
                <w:rFonts w:ascii="Calibri" w:hAnsi="Calibri" w:cs="Calibri"/>
              </w:rPr>
              <w:t>X</w:t>
            </w:r>
          </w:p>
        </w:tc>
        <w:tc>
          <w:tcPr>
            <w:tcW w:w="1723" w:type="dxa"/>
            <w:vAlign w:val="center"/>
          </w:tcPr>
          <w:p w14:paraId="19AEE9B2" w14:textId="0C656136"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A1BED25"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3EC05EDB"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05669B4E"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4E48914C"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40BCB6AC"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66E7467F"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3AB3DE67"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3354B9F"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1DA21074"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68F8BD31"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1CF06294"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32DD259D"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3459DD03"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567FBBFC"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6DA65CA3"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62C4B162"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454C2678"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F366247"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8EC694A" w:rsidR="00092534" w:rsidRPr="00CF2E7C" w:rsidRDefault="00630A1A" w:rsidP="00CF2E7C">
            <w:pPr>
              <w:rPr>
                <w:rFonts w:ascii="Calibri" w:hAnsi="Calibri" w:cs="Calibri"/>
              </w:rPr>
            </w:pPr>
            <w:r>
              <w:rPr>
                <w:rFonts w:ascii="Calibri" w:hAnsi="Calibri" w:cs="Calibri"/>
              </w:rPr>
              <w:t>X</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447C5D62"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5F81D55D"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649FA28A"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4CF60DF4"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61BD2BBD"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3143DFCE"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BC51C0C"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15471159" w:rsidR="00092534" w:rsidRPr="00CF2E7C" w:rsidRDefault="00887578" w:rsidP="00CF2E7C">
            <w:pPr>
              <w:rPr>
                <w:rFonts w:ascii="Calibri" w:hAnsi="Calibri" w:cs="Calibri"/>
              </w:rPr>
            </w:pPr>
            <w:r>
              <w:rPr>
                <w:rFonts w:ascii="Calibri" w:hAnsi="Calibri" w:cs="Calibri"/>
              </w:rPr>
              <w:t>X</w:t>
            </w: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4589C49F" w:rsidR="00092534" w:rsidRPr="00CF2E7C" w:rsidRDefault="00887578" w:rsidP="00CF2E7C">
            <w:pPr>
              <w:rPr>
                <w:rFonts w:ascii="Calibri" w:hAnsi="Calibri" w:cs="Calibri"/>
              </w:rPr>
            </w:pPr>
            <w:r>
              <w:rPr>
                <w:rFonts w:ascii="Calibri" w:hAnsi="Calibri" w:cs="Calibri"/>
              </w:rPr>
              <w:t>Not Specified</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4C9F9B1" w:rsidR="00092534" w:rsidRPr="00CF2E7C" w:rsidRDefault="00887578" w:rsidP="00CF2E7C">
            <w:pPr>
              <w:rPr>
                <w:rFonts w:ascii="Calibri" w:hAnsi="Calibri" w:cs="Calibri"/>
              </w:rPr>
            </w:pPr>
            <w:r>
              <w:rPr>
                <w:rFonts w:ascii="Calibri" w:hAnsi="Calibri" w:cs="Calibri"/>
              </w:rPr>
              <w:t>Not Specified</w:t>
            </w: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037CEB3F" w:rsidR="00092534" w:rsidRPr="00CF2E7C" w:rsidRDefault="00887578" w:rsidP="00CF2E7C">
            <w:pPr>
              <w:rPr>
                <w:rFonts w:ascii="Calibri" w:hAnsi="Calibri" w:cs="Calibri"/>
                <w:lang w:val="sv-SE"/>
              </w:rPr>
            </w:pPr>
            <w:r>
              <w:rPr>
                <w:rFonts w:ascii="Calibri" w:hAnsi="Calibri" w:cs="Calibri"/>
              </w:rPr>
              <w:t>Not Specified</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6A5991BF" w:rsidR="00092534" w:rsidRPr="00CF2E7C" w:rsidRDefault="00887578" w:rsidP="00CF2E7C">
            <w:pPr>
              <w:rPr>
                <w:rFonts w:ascii="Calibri" w:hAnsi="Calibri" w:cs="Calibri"/>
              </w:rPr>
            </w:pPr>
            <w:r>
              <w:rPr>
                <w:rFonts w:ascii="Calibri" w:hAnsi="Calibri" w:cs="Calibri"/>
              </w:rPr>
              <w:t>Not Specified</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09393FA1" w:rsidR="00092534" w:rsidRPr="00CF2E7C" w:rsidRDefault="00887578" w:rsidP="00CF2E7C">
            <w:pPr>
              <w:rPr>
                <w:rFonts w:ascii="Calibri" w:hAnsi="Calibri" w:cs="Calibri"/>
              </w:rPr>
            </w:pPr>
            <w:r>
              <w:rPr>
                <w:rFonts w:ascii="Calibri" w:hAnsi="Calibri" w:cs="Calibri"/>
              </w:rPr>
              <w:t>Not Specified</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F2C76F6" w:rsidR="00092534" w:rsidRPr="00CF2E7C" w:rsidRDefault="00887578"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EF04335"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262B5555" w:rsidR="00DB1E72" w:rsidRPr="00CF2E7C" w:rsidRDefault="00887578"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7E311A9" w:rsidR="00092534" w:rsidRPr="00CF2E7C" w:rsidRDefault="00887578"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FFA7715" w14:textId="77777777" w:rsidR="00FA5C30" w:rsidRPr="00FA5C30" w:rsidRDefault="00FA5C30" w:rsidP="00FA5C30">
            <w:pPr>
              <w:rPr>
                <w:rFonts w:ascii="Calibri" w:hAnsi="Calibri" w:cs="Calibri"/>
                <w:lang w:val="en-US"/>
              </w:rPr>
            </w:pPr>
            <w:r w:rsidRPr="00FA5C30">
              <w:rPr>
                <w:rFonts w:ascii="Calibri" w:hAnsi="Calibri" w:cs="Calibri"/>
                <w:lang w:val="en-US"/>
              </w:rPr>
              <w:t>Yes, there is evidence that the carbon credit provisions of Law 1931 of 2018 are being implemented in Colombia.</w:t>
            </w:r>
          </w:p>
          <w:p w14:paraId="76B75E6E" w14:textId="77777777" w:rsidR="00FA5C30" w:rsidRPr="00FA5C30" w:rsidRDefault="00FA5C30" w:rsidP="00FA5C30">
            <w:pPr>
              <w:rPr>
                <w:rFonts w:ascii="Calibri" w:hAnsi="Calibri" w:cs="Calibri"/>
                <w:lang w:val="en-US"/>
              </w:rPr>
            </w:pPr>
            <w:r w:rsidRPr="00FA5C30">
              <w:rPr>
                <w:rFonts w:ascii="Calibri" w:hAnsi="Calibri" w:cs="Calibri"/>
                <w:lang w:val="en-US"/>
              </w:rPr>
              <w:t>The Ministry of Environment and Sustainable Development (MinAmbiente) has launched the Programa Nacional de Cupos Transables de Emisión de Gases de Efecto Invernadero (PNCTE), which is the core mechanism established by the law for managing carbon credits. This program includes the creation of a national registry (RENARE) for verified emissions reductions and removals, and it supports both voluntary and compliance market participation. </w:t>
            </w:r>
          </w:p>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CFCEB44" w:rsidR="00092534" w:rsidRPr="00CF2E7C" w:rsidRDefault="00FA5C30"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8EFDCC9" w:rsidR="00092534" w:rsidRPr="00CF2E7C" w:rsidRDefault="00FA5C30"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5155E2D" w:rsidR="00D46B07" w:rsidRPr="00CF2E7C" w:rsidRDefault="00FA5C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0870036" w:rsidR="00D46B07" w:rsidRPr="00CF2E7C" w:rsidRDefault="00FA5C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010BC32" w:rsidR="00D46B07" w:rsidRPr="00CF2E7C" w:rsidRDefault="00FA5C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096490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07D0E3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7A0942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6869298"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172A6224" w:rsidR="000334B6" w:rsidRPr="00FA5C30"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77D95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7CA05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29FC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51F52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DBC57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3BCD7C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11B730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w:t>
            </w:r>
            <w:r w:rsidR="00FA5C30">
              <w:rPr>
                <w:rFonts w:ascii="Calibri" w:eastAsia="Times New Roman" w:hAnsi="Calibri" w:cs="Calibri"/>
                <w:b/>
                <w:color w:val="7030A0"/>
                <w:kern w:val="0"/>
                <w:lang w:eastAsia="en-GB"/>
                <w14:ligatures w14:val="none"/>
              </w:rPr>
              <w:t>x</w:t>
            </w:r>
            <w:r w:rsidRPr="00CF2E7C">
              <w:rPr>
                <w:rFonts w:ascii="Calibri" w:eastAsia="Times New Roman" w:hAnsi="Calibri" w:cs="Calibri"/>
                <w:b/>
                <w:color w:val="7030A0"/>
                <w:kern w:val="0"/>
                <w:lang w:eastAsia="en-GB"/>
                <w14:ligatures w14:val="none"/>
              </w:rPr>
              <w:t>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B408BF7" w:rsidR="00343937" w:rsidRPr="00CF2E7C" w:rsidRDefault="00FA5C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166AC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B0200A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6E0289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A5C30">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081F07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3F3B7C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A1B17A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A97FE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417EE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5C3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A27B1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7F6BC2B" w:rsidR="00343937" w:rsidRPr="00CF2E7C" w:rsidRDefault="00287D78" w:rsidP="00CF2E7C">
            <w:pPr>
              <w:textAlignment w:val="baseline"/>
              <w:rPr>
                <w:rFonts w:ascii="Calibri" w:eastAsia="Times New Roman" w:hAnsi="Calibri" w:cs="Calibri"/>
                <w:kern w:val="0"/>
                <w:lang w:eastAsia="en-GB"/>
                <w14:ligatures w14:val="none"/>
              </w:rPr>
            </w:pPr>
            <w:r w:rsidRPr="00287D78">
              <w:rPr>
                <w:rFonts w:ascii="Calibri" w:eastAsia="Times New Roman" w:hAnsi="Calibri" w:cs="Calibri"/>
                <w:kern w:val="0"/>
                <w:lang w:eastAsia="en-GB"/>
                <w14:ligatures w14:val="none"/>
              </w:rPr>
              <w:t>According to Article 33 of Law 1931 of 2018, all revenues generated by the Colombian government from the auctioning of tradable GHG emission allowances under the PNCTE must be allocated to a dedicated sub-account within the Fondo Nacional Ambiental (Fonam) and used exclusively for initiatives related to GHG emissions reduction, climate change adaptation, and the management of climate-related information necessary to fulfill the objectives of the law.</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58F14DF" w:rsidR="000A6F11" w:rsidRPr="00CF2E7C" w:rsidRDefault="00287D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8F241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20BCB4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96B06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9F455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D927E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81A66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7E060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5E0B8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9038A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7DB73B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8BBFDF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5F03E94" w:rsidR="00047A9C" w:rsidRPr="00287D78" w:rsidRDefault="00047A9C" w:rsidP="00CF2E7C">
            <w:pPr>
              <w:textAlignment w:val="baseline"/>
              <w:rPr>
                <w:rFonts w:ascii="Calibri" w:eastAsia="Times New Roman" w:hAnsi="Calibri" w:cs="Calibri"/>
                <w:kern w:val="0"/>
                <w:lang w:eastAsia="en-GB"/>
                <w14:ligatures w14:val="none"/>
              </w:rPr>
            </w:pPr>
            <w:r w:rsidRPr="00287D78">
              <w:rPr>
                <w:rFonts w:ascii="Calibri" w:eastAsia="Times New Roman" w:hAnsi="Calibri" w:cs="Calibri"/>
                <w:kern w:val="0"/>
                <w:lang w:eastAsia="en-GB"/>
                <w14:ligatures w14:val="none"/>
              </w:rPr>
              <w:t> </w:t>
            </w:r>
            <w:r w:rsidR="00287D78" w:rsidRPr="00287D78">
              <w:rPr>
                <w:rFonts w:ascii="Calibri" w:eastAsia="Times New Roman" w:hAnsi="Calibri" w:cs="Calibri"/>
                <w:kern w:val="0"/>
                <w:lang w:eastAsia="en-GB"/>
                <w14:ligatures w14:val="none"/>
              </w:rPr>
              <w:t>Law 1931 of 2018 requires third-party certification of carbon credits. Specifically, Article 31 mandates that all emissions, reductions, and removals of greenhouse gases (GEI) must be verifiable by an independent third-party organization that is accredited for this purpose</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ABE06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71711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B15D2C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F4522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A4A21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56E5972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36104A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0BFB4D83" w:rsidR="00047A9C" w:rsidRPr="00CF2E7C" w:rsidRDefault="00287D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6621B6"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6E504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42D956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AF2CA6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7D78">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0C484FC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E971E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67190B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DCA81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CDD634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143557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44157F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8273011" w:rsidR="00DD694D" w:rsidRPr="00CF2E7C" w:rsidRDefault="006D3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D400F4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D96185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22F9DE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7C8EBC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20AE5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D33E2">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404BE95D" w:rsidR="00B87C89" w:rsidRPr="00CF2E7C" w:rsidRDefault="006D3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39617C0E" w:rsidR="00B87C89" w:rsidRPr="00CF2E7C" w:rsidRDefault="006D3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1FBBDE2F" w:rsidR="00B87C89" w:rsidRPr="006D33E2" w:rsidRDefault="006D33E2" w:rsidP="00CF2E7C">
            <w:pPr>
              <w:textAlignment w:val="baseline"/>
              <w:rPr>
                <w:rFonts w:ascii="Calibri" w:eastAsia="Times New Roman" w:hAnsi="Calibri" w:cs="Calibri"/>
                <w:kern w:val="0"/>
                <w:lang w:eastAsia="en-GB"/>
                <w14:ligatures w14:val="none"/>
              </w:rPr>
            </w:pPr>
            <w:r w:rsidRPr="006D33E2">
              <w:rPr>
                <w:rFonts w:ascii="Calibri" w:eastAsia="Times New Roman" w:hAnsi="Calibri" w:cs="Calibri"/>
                <w:kern w:val="0"/>
                <w:lang w:eastAsia="en-GB"/>
                <w14:ligatures w14:val="none"/>
              </w:rPr>
              <w:t>Law 1931 of 2018 establishes the Programa Nacional de Cupos Transables de Emisión de Gases de Efecto Invernadero (PNCTE) in Article 30, which allows for the issuance and use of tradable emission allowances. These allowances can be used by regulated entities to comply with obligations to back their emissions, as defined by the Ministry of Environment and Sustainable Development. Additionally, Paragraph 1 of Article 30 allows for the recognition of carbon tax payments (from Law 1819 of 2016) as part of the compliance mechanism, meaning that carbon credits can be used to offset obligations under both a carbon tax and a cap-and-trade system.</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099372C" w:rsidR="002119B6" w:rsidRPr="00CF2E7C" w:rsidRDefault="006D3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70C40FF" w:rsidR="00FE7FA5" w:rsidRPr="00CF2E7C" w:rsidRDefault="006D3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24D5891B" w:rsidR="00FE7FA5" w:rsidRPr="00CF2E7C" w:rsidRDefault="007C5528" w:rsidP="00CF2E7C">
            <w:pPr>
              <w:textAlignment w:val="baseline"/>
              <w:rPr>
                <w:rFonts w:ascii="Calibri" w:eastAsia="Times New Roman" w:hAnsi="Calibri" w:cs="Calibri"/>
                <w:kern w:val="0"/>
                <w:lang w:eastAsia="en-GB"/>
                <w14:ligatures w14:val="none"/>
              </w:rPr>
            </w:pPr>
            <w:r w:rsidRPr="007C5528">
              <w:rPr>
                <w:rFonts w:ascii="Calibri" w:eastAsia="Times New Roman" w:hAnsi="Calibri" w:cs="Calibri"/>
                <w:kern w:val="0"/>
                <w:lang w:eastAsia="en-GB"/>
                <w14:ligatures w14:val="none"/>
              </w:rPr>
              <w:t>Law 1931 of 2018 does not provide specific guidance about the types of credits that should be used in the voluntary carbon market. While it establishes the Programa Nacional de Cupos Transables de Emisión de Gases de Efecto Invernadero (PNCTE) and the Registro Nacional de Reducción de las Emisiones de GEl (RENARE) for verified and certified credits, these mechanisms are designed primarily for compliance purposes.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1140B3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8FF2FE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0DE3CA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8D3DB1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A7E42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288567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36B23E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04C04C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56CE760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3D2C9A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329A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114AB7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102CC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3691D0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5528">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4806D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2E60CF42" w:rsidR="00392F82" w:rsidRPr="009C4D10" w:rsidRDefault="007C552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366D0" w14:textId="1CF5F193"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Law 1931 of 2018 regulates the trading and intermediation of carbon credits through the establishment of the Programa Nacional de Cupos Transables de Emisión de Gases de Efecto Invernadero (PNCTE). According to Article 29, a </w:t>
            </w:r>
            <w:r w:rsidRPr="007C5528">
              <w:rPr>
                <w:rFonts w:eastAsia="Times New Roman" w:cstheme="minorHAnsi"/>
                <w:i/>
                <w:iCs/>
                <w:kern w:val="0"/>
                <w:lang w:val="en-US" w:eastAsia="en-GB"/>
                <w14:ligatures w14:val="none"/>
              </w:rPr>
              <w:t>Cupo Transable de Emisión</w:t>
            </w:r>
            <w:r w:rsidRPr="007C5528">
              <w:rPr>
                <w:rFonts w:eastAsia="Times New Roman" w:cstheme="minorHAnsi"/>
                <w:kern w:val="0"/>
                <w:lang w:val="en-US" w:eastAsia="en-GB"/>
                <w14:ligatures w14:val="none"/>
              </w:rPr>
              <w:t> is defined as a negotiable right that authorizes its holder to emit one ton of CO₂ or its equivalent. These rights are autonomous, transferable, and non-revocable (except by judicial order), which gives them the legal character of a financial instrument </w:t>
            </w:r>
          </w:p>
          <w:p w14:paraId="13AC05EB"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The law ensures market integrity through several mechanisms:</w:t>
            </w:r>
          </w:p>
          <w:p w14:paraId="27EEB01E" w14:textId="4494D681"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Article 30 mandates that credits must be verified, certified, and registered in the Registro Nacional de Reducción de las Emisiones de GEl (RENARE) to prevent double counting and ensure traceability </w:t>
            </w:r>
          </w:p>
          <w:p w14:paraId="0AE7285F"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Article 31 requires that all emissions, reductions, and removals be verified by an independent third party accredited for this purpose, and that the Ministry of Environment and Sustainable Development regulate the procedures for monitoring and compliance </w:t>
            </w:r>
          </w:p>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0F7E71"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Law 1931 of 2018 ensures the integrity of Colombia’s carbon credit market through a set of regulatory mechanisms embedded in Articles 29 to 31:</w:t>
            </w:r>
          </w:p>
          <w:p w14:paraId="327261DC"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Article 29 defines a </w:t>
            </w:r>
            <w:r w:rsidRPr="007C5528">
              <w:rPr>
                <w:rFonts w:eastAsia="Times New Roman" w:cstheme="minorHAnsi"/>
                <w:i/>
                <w:iCs/>
                <w:kern w:val="0"/>
                <w:lang w:val="en-US" w:eastAsia="en-GB"/>
                <w14:ligatures w14:val="none"/>
              </w:rPr>
              <w:t>Cupo Transable de Emisión de GEI</w:t>
            </w:r>
            <w:r w:rsidRPr="007C5528">
              <w:rPr>
                <w:rFonts w:eastAsia="Times New Roman" w:cstheme="minorHAnsi"/>
                <w:kern w:val="0"/>
                <w:lang w:val="en-US" w:eastAsia="en-GB"/>
                <w14:ligatures w14:val="none"/>
              </w:rPr>
              <w:t> as a negotiable right to emit one ton of CO₂ or its equivalent. These rights are autonomous, non-revocable (except by judicial order), and transferable, establishing their legal status and enabling transparent trading.</w:t>
            </w:r>
          </w:p>
          <w:p w14:paraId="69210039"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Article 30 establishes the Programa Nacional de Cupos Transables de Emisión de Gases de Efecto Invernadero (PNCTE), which governs the issuance and allocation of tradable emission allowances. It mandates that all reductions or removals used to generate credits must be verified, certified, and registered in the Registro Nacional de Reducción de las Emisiones de GEl (RENARE) to prevent double counting and ensure traceability.</w:t>
            </w:r>
          </w:p>
          <w:p w14:paraId="3212799A" w14:textId="77777777" w:rsidR="007C5528" w:rsidRPr="007C5528" w:rsidRDefault="007C5528" w:rsidP="007C5528">
            <w:pPr>
              <w:textAlignment w:val="baseline"/>
              <w:rPr>
                <w:rFonts w:eastAsia="Times New Roman" w:cstheme="minorHAnsi"/>
                <w:kern w:val="0"/>
                <w:lang w:val="en-US" w:eastAsia="en-GB"/>
                <w14:ligatures w14:val="none"/>
              </w:rPr>
            </w:pPr>
            <w:r w:rsidRPr="007C5528">
              <w:rPr>
                <w:rFonts w:eastAsia="Times New Roman" w:cstheme="minorHAnsi"/>
                <w:kern w:val="0"/>
                <w:lang w:val="en-US" w:eastAsia="en-GB"/>
                <w14:ligatures w14:val="none"/>
              </w:rPr>
              <w:t xml:space="preserve">Article 31 further reinforces market integrity by requiring that all emissions, reductions, and removals be verified by an independent third party accredited for this purpose. It also </w:t>
            </w:r>
            <w:r w:rsidRPr="007C5528">
              <w:rPr>
                <w:rFonts w:eastAsia="Times New Roman" w:cstheme="minorHAnsi"/>
                <w:kern w:val="0"/>
                <w:lang w:val="en-US" w:eastAsia="en-GB"/>
                <w14:ligatures w14:val="none"/>
              </w:rPr>
              <w:lastRenderedPageBreak/>
              <w:t>empowers the Ministry of Environment and Sustainable Development to regulate the procedures for monitoring, reporting, and compliance.</w:t>
            </w:r>
          </w:p>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E12CC31"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A70A265"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1AF3AD4"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12BB2CB8"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46646E8"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DCE0A19"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976635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5423EF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DE42A94"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D785F13"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219A915"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2B8AEDF"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4B540E62" w:rsidR="002F0752" w:rsidRPr="00CF2E7C" w:rsidRDefault="002F0752" w:rsidP="00CF2E7C">
            <w:pPr>
              <w:rPr>
                <w:rFonts w:ascii="Calibri" w:hAnsi="Calibri" w:cs="Calibri"/>
              </w:rPr>
            </w:pPr>
          </w:p>
        </w:tc>
        <w:tc>
          <w:tcPr>
            <w:tcW w:w="1483" w:type="dxa"/>
            <w:vAlign w:val="center"/>
          </w:tcPr>
          <w:p w14:paraId="75D69809" w14:textId="08F829B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3922155"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30AACB75" w:rsidR="002F0752" w:rsidRPr="00CF2E7C" w:rsidRDefault="0041499F" w:rsidP="00CF2E7C">
            <w:pPr>
              <w:rPr>
                <w:rFonts w:ascii="Calibri" w:hAnsi="Calibri" w:cs="Calibri"/>
              </w:rPr>
            </w:pPr>
            <w:r>
              <w:rPr>
                <w:rFonts w:ascii="Calibri" w:hAnsi="Calibri" w:cs="Calibri"/>
              </w:rPr>
              <w:t>X</w:t>
            </w:r>
          </w:p>
        </w:tc>
        <w:tc>
          <w:tcPr>
            <w:tcW w:w="1483" w:type="dxa"/>
            <w:vAlign w:val="center"/>
          </w:tcPr>
          <w:p w14:paraId="716F2CDA" w14:textId="6A637DCF"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6C16BD81" w:rsidR="002F0752" w:rsidRPr="00CF2E7C" w:rsidRDefault="0041499F" w:rsidP="00CF2E7C">
            <w:pPr>
              <w:rPr>
                <w:rFonts w:ascii="Calibri" w:hAnsi="Calibri" w:cs="Calibri"/>
              </w:rPr>
            </w:pPr>
            <w:r>
              <w:rPr>
                <w:rFonts w:ascii="Calibri" w:hAnsi="Calibri" w:cs="Calibri"/>
              </w:rPr>
              <w:t>X</w:t>
            </w:r>
          </w:p>
        </w:tc>
        <w:tc>
          <w:tcPr>
            <w:tcW w:w="1483" w:type="dxa"/>
            <w:vAlign w:val="center"/>
          </w:tcPr>
          <w:p w14:paraId="75FADCCD" w14:textId="54DAD67E"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24E41CC4" w:rsidR="002F0752" w:rsidRPr="00CF2E7C" w:rsidRDefault="0041499F" w:rsidP="00CF2E7C">
            <w:pPr>
              <w:rPr>
                <w:rFonts w:ascii="Calibri" w:hAnsi="Calibri" w:cs="Calibri"/>
              </w:rPr>
            </w:pPr>
            <w:r>
              <w:rPr>
                <w:rFonts w:ascii="Calibri" w:hAnsi="Calibri" w:cs="Calibri"/>
              </w:rPr>
              <w:t>X</w:t>
            </w:r>
          </w:p>
        </w:tc>
        <w:tc>
          <w:tcPr>
            <w:tcW w:w="1483" w:type="dxa"/>
            <w:vAlign w:val="center"/>
          </w:tcPr>
          <w:p w14:paraId="2B20156E" w14:textId="030E40DB"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4C908AE7" w:rsidR="002F0752" w:rsidRPr="00CF2E7C" w:rsidRDefault="0041499F" w:rsidP="00CF2E7C">
            <w:pPr>
              <w:rPr>
                <w:rFonts w:ascii="Calibri" w:hAnsi="Calibri" w:cs="Calibri"/>
              </w:rPr>
            </w:pPr>
            <w:r>
              <w:rPr>
                <w:rFonts w:ascii="Calibri" w:hAnsi="Calibri" w:cs="Calibri"/>
              </w:rPr>
              <w:t>X</w:t>
            </w:r>
          </w:p>
        </w:tc>
        <w:tc>
          <w:tcPr>
            <w:tcW w:w="1483" w:type="dxa"/>
            <w:vAlign w:val="center"/>
          </w:tcPr>
          <w:p w14:paraId="1ABB7184" w14:textId="3BF00C22"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48809C13" w:rsidR="002F0752" w:rsidRPr="00CF2E7C" w:rsidRDefault="0041499F" w:rsidP="00CF2E7C">
            <w:pPr>
              <w:rPr>
                <w:rFonts w:ascii="Calibri" w:hAnsi="Calibri" w:cs="Calibri"/>
              </w:rPr>
            </w:pPr>
            <w:r>
              <w:rPr>
                <w:rFonts w:ascii="Calibri" w:hAnsi="Calibri" w:cs="Calibri"/>
              </w:rPr>
              <w:t>X</w:t>
            </w:r>
          </w:p>
        </w:tc>
        <w:tc>
          <w:tcPr>
            <w:tcW w:w="1483" w:type="dxa"/>
            <w:vAlign w:val="center"/>
          </w:tcPr>
          <w:p w14:paraId="52481CB9" w14:textId="2676F05E"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4815C1E0"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31B37B6C"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589044FD"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048E0CDE"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05BB7BEE"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4D92AC16"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0EE09745"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5917EC49"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05D08B88"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2C85A02C"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1D5E8191"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4D9D5963"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287B1045"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142BF0B9"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4BEB1E2"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52BB32A5"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292D468"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05EB8C4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387121E3"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672DCDBD"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633AC86A"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1C4070FD"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6F3B48E3"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50682865"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46E29550"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D870A1B"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09BAB2A"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2FCFBBD"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2F023FC1"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3FAE2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4548C42"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A957BD8"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3BCEC55"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525638" w14:textId="77777777" w:rsidR="001C4710" w:rsidRDefault="001C4710" w:rsidP="00874E39">
      <w:r>
        <w:separator/>
      </w:r>
    </w:p>
  </w:endnote>
  <w:endnote w:type="continuationSeparator" w:id="0">
    <w:p w14:paraId="42C590E1" w14:textId="77777777" w:rsidR="001C4710" w:rsidRDefault="001C4710" w:rsidP="00874E39">
      <w:r>
        <w:continuationSeparator/>
      </w:r>
    </w:p>
  </w:endnote>
  <w:endnote w:type="continuationNotice" w:id="1">
    <w:p w14:paraId="1DB6D44B" w14:textId="77777777" w:rsidR="001C4710" w:rsidRDefault="001C47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341052" w14:textId="77777777" w:rsidR="001C4710" w:rsidRDefault="001C4710" w:rsidP="00874E39">
      <w:r>
        <w:separator/>
      </w:r>
    </w:p>
  </w:footnote>
  <w:footnote w:type="continuationSeparator" w:id="0">
    <w:p w14:paraId="2B451E78" w14:textId="77777777" w:rsidR="001C4710" w:rsidRDefault="001C4710" w:rsidP="00874E39">
      <w:r>
        <w:continuationSeparator/>
      </w:r>
    </w:p>
  </w:footnote>
  <w:footnote w:type="continuationNotice" w:id="1">
    <w:p w14:paraId="685425C8" w14:textId="77777777" w:rsidR="001C4710" w:rsidRDefault="001C47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DA439B"/>
    <w:multiLevelType w:val="multilevel"/>
    <w:tmpl w:val="A87E7B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3483E44"/>
    <w:multiLevelType w:val="multilevel"/>
    <w:tmpl w:val="CB80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8B01CDC"/>
    <w:multiLevelType w:val="multilevel"/>
    <w:tmpl w:val="B56A5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3C31559E"/>
    <w:multiLevelType w:val="multilevel"/>
    <w:tmpl w:val="903E0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DAF346B"/>
    <w:multiLevelType w:val="multilevel"/>
    <w:tmpl w:val="4E6AB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448497A"/>
    <w:multiLevelType w:val="multilevel"/>
    <w:tmpl w:val="12222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8A20FBB"/>
    <w:multiLevelType w:val="multilevel"/>
    <w:tmpl w:val="7C6CA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0937EB0"/>
    <w:multiLevelType w:val="multilevel"/>
    <w:tmpl w:val="CF50E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6" w15:restartNumberingAfterBreak="0">
    <w:nsid w:val="7D2A0537"/>
    <w:multiLevelType w:val="multilevel"/>
    <w:tmpl w:val="8730B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9"/>
  </w:num>
  <w:num w:numId="2" w16cid:durableId="482308869">
    <w:abstractNumId w:val="28"/>
  </w:num>
  <w:num w:numId="3" w16cid:durableId="690952733">
    <w:abstractNumId w:val="48"/>
  </w:num>
  <w:num w:numId="4" w16cid:durableId="1689330127">
    <w:abstractNumId w:val="1"/>
  </w:num>
  <w:num w:numId="5" w16cid:durableId="401291788">
    <w:abstractNumId w:val="34"/>
  </w:num>
  <w:num w:numId="6" w16cid:durableId="1276788690">
    <w:abstractNumId w:val="15"/>
  </w:num>
  <w:num w:numId="7" w16cid:durableId="566767730">
    <w:abstractNumId w:val="23"/>
  </w:num>
  <w:num w:numId="8" w16cid:durableId="1780710843">
    <w:abstractNumId w:val="40"/>
  </w:num>
  <w:num w:numId="9" w16cid:durableId="1685783054">
    <w:abstractNumId w:val="3"/>
  </w:num>
  <w:num w:numId="10" w16cid:durableId="950551298">
    <w:abstractNumId w:val="37"/>
  </w:num>
  <w:num w:numId="11" w16cid:durableId="1591960799">
    <w:abstractNumId w:val="55"/>
  </w:num>
  <w:num w:numId="12" w16cid:durableId="1344891410">
    <w:abstractNumId w:val="10"/>
  </w:num>
  <w:num w:numId="13" w16cid:durableId="2023899324">
    <w:abstractNumId w:val="12"/>
  </w:num>
  <w:num w:numId="14" w16cid:durableId="430587014">
    <w:abstractNumId w:val="8"/>
  </w:num>
  <w:num w:numId="15" w16cid:durableId="1742869061">
    <w:abstractNumId w:val="36"/>
  </w:num>
  <w:num w:numId="16" w16cid:durableId="1996450437">
    <w:abstractNumId w:val="22"/>
  </w:num>
  <w:num w:numId="17" w16cid:durableId="1529031027">
    <w:abstractNumId w:val="9"/>
  </w:num>
  <w:num w:numId="18" w16cid:durableId="568614617">
    <w:abstractNumId w:val="20"/>
  </w:num>
  <w:num w:numId="19" w16cid:durableId="1530605858">
    <w:abstractNumId w:val="49"/>
  </w:num>
  <w:num w:numId="20" w16cid:durableId="1328172586">
    <w:abstractNumId w:val="18"/>
  </w:num>
  <w:num w:numId="21" w16cid:durableId="184827816">
    <w:abstractNumId w:val="33"/>
  </w:num>
  <w:num w:numId="22" w16cid:durableId="1785346599">
    <w:abstractNumId w:val="39"/>
  </w:num>
  <w:num w:numId="23" w16cid:durableId="1294288901">
    <w:abstractNumId w:val="32"/>
  </w:num>
  <w:num w:numId="24" w16cid:durableId="1603957975">
    <w:abstractNumId w:val="51"/>
  </w:num>
  <w:num w:numId="25" w16cid:durableId="1659531047">
    <w:abstractNumId w:val="50"/>
  </w:num>
  <w:num w:numId="26" w16cid:durableId="752774403">
    <w:abstractNumId w:val="27"/>
  </w:num>
  <w:num w:numId="27" w16cid:durableId="347872198">
    <w:abstractNumId w:val="7"/>
  </w:num>
  <w:num w:numId="28" w16cid:durableId="537133110">
    <w:abstractNumId w:val="14"/>
  </w:num>
  <w:num w:numId="29" w16cid:durableId="1632318729">
    <w:abstractNumId w:val="52"/>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1"/>
  </w:num>
  <w:num w:numId="36" w16cid:durableId="1952588250">
    <w:abstractNumId w:val="43"/>
  </w:num>
  <w:num w:numId="37" w16cid:durableId="1712027211">
    <w:abstractNumId w:val="4"/>
  </w:num>
  <w:num w:numId="38" w16cid:durableId="2033795929">
    <w:abstractNumId w:val="2"/>
  </w:num>
  <w:num w:numId="39" w16cid:durableId="1238595582">
    <w:abstractNumId w:val="29"/>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7"/>
  </w:num>
  <w:num w:numId="46" w16cid:durableId="947811845">
    <w:abstractNumId w:val="54"/>
  </w:num>
  <w:num w:numId="47" w16cid:durableId="342588554">
    <w:abstractNumId w:val="31"/>
  </w:num>
  <w:num w:numId="48" w16cid:durableId="318391343">
    <w:abstractNumId w:val="42"/>
  </w:num>
  <w:num w:numId="49" w16cid:durableId="1163816693">
    <w:abstractNumId w:val="13"/>
  </w:num>
  <w:num w:numId="50" w16cid:durableId="1655640442">
    <w:abstractNumId w:val="56"/>
  </w:num>
  <w:num w:numId="51" w16cid:durableId="116070952">
    <w:abstractNumId w:val="5"/>
  </w:num>
  <w:num w:numId="52" w16cid:durableId="329479464">
    <w:abstractNumId w:val="26"/>
  </w:num>
  <w:num w:numId="53" w16cid:durableId="61368041">
    <w:abstractNumId w:val="53"/>
  </w:num>
  <w:num w:numId="54" w16cid:durableId="879318115">
    <w:abstractNumId w:val="25"/>
  </w:num>
  <w:num w:numId="55" w16cid:durableId="787550860">
    <w:abstractNumId w:val="30"/>
  </w:num>
  <w:num w:numId="56" w16cid:durableId="1381587779">
    <w:abstractNumId w:val="16"/>
  </w:num>
  <w:num w:numId="57" w16cid:durableId="1137379659">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77F9B"/>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0B9"/>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7C1"/>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71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6D5"/>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14D"/>
    <w:rsid w:val="00274335"/>
    <w:rsid w:val="00274864"/>
    <w:rsid w:val="00274B22"/>
    <w:rsid w:val="00277FC5"/>
    <w:rsid w:val="00284ADD"/>
    <w:rsid w:val="00285DA7"/>
    <w:rsid w:val="00286683"/>
    <w:rsid w:val="00286FE0"/>
    <w:rsid w:val="002878A1"/>
    <w:rsid w:val="00287D78"/>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BE2"/>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7A9"/>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3DCB"/>
    <w:rsid w:val="0041424B"/>
    <w:rsid w:val="0041499F"/>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7D8"/>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05F"/>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AE2"/>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A32"/>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517"/>
    <w:rsid w:val="00626B40"/>
    <w:rsid w:val="00630A1A"/>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605"/>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3E2"/>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528"/>
    <w:rsid w:val="007C77AA"/>
    <w:rsid w:val="007D281E"/>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578"/>
    <w:rsid w:val="00887A64"/>
    <w:rsid w:val="00890032"/>
    <w:rsid w:val="0089120B"/>
    <w:rsid w:val="008915CB"/>
    <w:rsid w:val="00891DBD"/>
    <w:rsid w:val="0089355A"/>
    <w:rsid w:val="00896A1E"/>
    <w:rsid w:val="00897600"/>
    <w:rsid w:val="008A0461"/>
    <w:rsid w:val="008A093D"/>
    <w:rsid w:val="008A1DDE"/>
    <w:rsid w:val="008A207F"/>
    <w:rsid w:val="008A345E"/>
    <w:rsid w:val="008A3A6C"/>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595"/>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65"/>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A9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8F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987"/>
    <w:rsid w:val="00E71E7C"/>
    <w:rsid w:val="00E727D2"/>
    <w:rsid w:val="00E73270"/>
    <w:rsid w:val="00E7355A"/>
    <w:rsid w:val="00E73663"/>
    <w:rsid w:val="00E738CA"/>
    <w:rsid w:val="00E7486E"/>
    <w:rsid w:val="00E75E25"/>
    <w:rsid w:val="00E76F8F"/>
    <w:rsid w:val="00E801B2"/>
    <w:rsid w:val="00E81727"/>
    <w:rsid w:val="00E8221C"/>
    <w:rsid w:val="00E83D9D"/>
    <w:rsid w:val="00E83E48"/>
    <w:rsid w:val="00E85E70"/>
    <w:rsid w:val="00E86E3F"/>
    <w:rsid w:val="00E87F57"/>
    <w:rsid w:val="00E9046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C30"/>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61877">
      <w:bodyDiv w:val="1"/>
      <w:marLeft w:val="0"/>
      <w:marRight w:val="0"/>
      <w:marTop w:val="0"/>
      <w:marBottom w:val="0"/>
      <w:divBdr>
        <w:top w:val="none" w:sz="0" w:space="0" w:color="auto"/>
        <w:left w:val="none" w:sz="0" w:space="0" w:color="auto"/>
        <w:bottom w:val="none" w:sz="0" w:space="0" w:color="auto"/>
        <w:right w:val="none" w:sz="0" w:space="0" w:color="auto"/>
      </w:divBdr>
    </w:div>
    <w:div w:id="31880793">
      <w:bodyDiv w:val="1"/>
      <w:marLeft w:val="0"/>
      <w:marRight w:val="0"/>
      <w:marTop w:val="0"/>
      <w:marBottom w:val="0"/>
      <w:divBdr>
        <w:top w:val="none" w:sz="0" w:space="0" w:color="auto"/>
        <w:left w:val="none" w:sz="0" w:space="0" w:color="auto"/>
        <w:bottom w:val="none" w:sz="0" w:space="0" w:color="auto"/>
        <w:right w:val="none" w:sz="0" w:space="0" w:color="auto"/>
      </w:divBdr>
    </w:div>
    <w:div w:id="75329513">
      <w:bodyDiv w:val="1"/>
      <w:marLeft w:val="0"/>
      <w:marRight w:val="0"/>
      <w:marTop w:val="0"/>
      <w:marBottom w:val="0"/>
      <w:divBdr>
        <w:top w:val="none" w:sz="0" w:space="0" w:color="auto"/>
        <w:left w:val="none" w:sz="0" w:space="0" w:color="auto"/>
        <w:bottom w:val="none" w:sz="0" w:space="0" w:color="auto"/>
        <w:right w:val="none" w:sz="0" w:space="0" w:color="auto"/>
      </w:divBdr>
    </w:div>
    <w:div w:id="128331263">
      <w:bodyDiv w:val="1"/>
      <w:marLeft w:val="0"/>
      <w:marRight w:val="0"/>
      <w:marTop w:val="0"/>
      <w:marBottom w:val="0"/>
      <w:divBdr>
        <w:top w:val="none" w:sz="0" w:space="0" w:color="auto"/>
        <w:left w:val="none" w:sz="0" w:space="0" w:color="auto"/>
        <w:bottom w:val="none" w:sz="0" w:space="0" w:color="auto"/>
        <w:right w:val="none" w:sz="0" w:space="0" w:color="auto"/>
      </w:divBdr>
    </w:div>
    <w:div w:id="176695893">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45380265">
      <w:bodyDiv w:val="1"/>
      <w:marLeft w:val="0"/>
      <w:marRight w:val="0"/>
      <w:marTop w:val="0"/>
      <w:marBottom w:val="0"/>
      <w:divBdr>
        <w:top w:val="none" w:sz="0" w:space="0" w:color="auto"/>
        <w:left w:val="none" w:sz="0" w:space="0" w:color="auto"/>
        <w:bottom w:val="none" w:sz="0" w:space="0" w:color="auto"/>
        <w:right w:val="none" w:sz="0" w:space="0" w:color="auto"/>
      </w:divBdr>
      <w:divsChild>
        <w:div w:id="1219439663">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247885701">
      <w:bodyDiv w:val="1"/>
      <w:marLeft w:val="0"/>
      <w:marRight w:val="0"/>
      <w:marTop w:val="0"/>
      <w:marBottom w:val="0"/>
      <w:divBdr>
        <w:top w:val="none" w:sz="0" w:space="0" w:color="auto"/>
        <w:left w:val="none" w:sz="0" w:space="0" w:color="auto"/>
        <w:bottom w:val="none" w:sz="0" w:space="0" w:color="auto"/>
        <w:right w:val="none" w:sz="0" w:space="0" w:color="auto"/>
      </w:divBdr>
      <w:divsChild>
        <w:div w:id="1162620057">
          <w:marLeft w:val="0"/>
          <w:marRight w:val="0"/>
          <w:marTop w:val="0"/>
          <w:marBottom w:val="0"/>
          <w:divBdr>
            <w:top w:val="none" w:sz="0" w:space="0" w:color="auto"/>
            <w:left w:val="none" w:sz="0" w:space="0" w:color="auto"/>
            <w:bottom w:val="none" w:sz="0" w:space="0" w:color="auto"/>
            <w:right w:val="none" w:sz="0" w:space="0" w:color="auto"/>
          </w:divBdr>
        </w:div>
      </w:divsChild>
    </w:div>
    <w:div w:id="260722152">
      <w:bodyDiv w:val="1"/>
      <w:marLeft w:val="0"/>
      <w:marRight w:val="0"/>
      <w:marTop w:val="0"/>
      <w:marBottom w:val="0"/>
      <w:divBdr>
        <w:top w:val="none" w:sz="0" w:space="0" w:color="auto"/>
        <w:left w:val="none" w:sz="0" w:space="0" w:color="auto"/>
        <w:bottom w:val="none" w:sz="0" w:space="0" w:color="auto"/>
        <w:right w:val="none" w:sz="0" w:space="0" w:color="auto"/>
      </w:divBdr>
    </w:div>
    <w:div w:id="261188927">
      <w:bodyDiv w:val="1"/>
      <w:marLeft w:val="0"/>
      <w:marRight w:val="0"/>
      <w:marTop w:val="0"/>
      <w:marBottom w:val="0"/>
      <w:divBdr>
        <w:top w:val="none" w:sz="0" w:space="0" w:color="auto"/>
        <w:left w:val="none" w:sz="0" w:space="0" w:color="auto"/>
        <w:bottom w:val="none" w:sz="0" w:space="0" w:color="auto"/>
        <w:right w:val="none" w:sz="0" w:space="0" w:color="auto"/>
      </w:divBdr>
    </w:div>
    <w:div w:id="281692489">
      <w:bodyDiv w:val="1"/>
      <w:marLeft w:val="0"/>
      <w:marRight w:val="0"/>
      <w:marTop w:val="0"/>
      <w:marBottom w:val="0"/>
      <w:divBdr>
        <w:top w:val="none" w:sz="0" w:space="0" w:color="auto"/>
        <w:left w:val="none" w:sz="0" w:space="0" w:color="auto"/>
        <w:bottom w:val="none" w:sz="0" w:space="0" w:color="auto"/>
        <w:right w:val="none" w:sz="0" w:space="0" w:color="auto"/>
      </w:divBdr>
    </w:div>
    <w:div w:id="286862021">
      <w:bodyDiv w:val="1"/>
      <w:marLeft w:val="0"/>
      <w:marRight w:val="0"/>
      <w:marTop w:val="0"/>
      <w:marBottom w:val="0"/>
      <w:divBdr>
        <w:top w:val="none" w:sz="0" w:space="0" w:color="auto"/>
        <w:left w:val="none" w:sz="0" w:space="0" w:color="auto"/>
        <w:bottom w:val="none" w:sz="0" w:space="0" w:color="auto"/>
        <w:right w:val="none" w:sz="0" w:space="0" w:color="auto"/>
      </w:divBdr>
      <w:divsChild>
        <w:div w:id="416483355">
          <w:marLeft w:val="0"/>
          <w:marRight w:val="0"/>
          <w:marTop w:val="0"/>
          <w:marBottom w:val="0"/>
          <w:divBdr>
            <w:top w:val="none" w:sz="0" w:space="0" w:color="auto"/>
            <w:left w:val="none" w:sz="0" w:space="0" w:color="auto"/>
            <w:bottom w:val="none" w:sz="0" w:space="0" w:color="auto"/>
            <w:right w:val="none" w:sz="0" w:space="0" w:color="auto"/>
          </w:divBdr>
        </w:div>
      </w:divsChild>
    </w:div>
    <w:div w:id="351809040">
      <w:bodyDiv w:val="1"/>
      <w:marLeft w:val="0"/>
      <w:marRight w:val="0"/>
      <w:marTop w:val="0"/>
      <w:marBottom w:val="0"/>
      <w:divBdr>
        <w:top w:val="none" w:sz="0" w:space="0" w:color="auto"/>
        <w:left w:val="none" w:sz="0" w:space="0" w:color="auto"/>
        <w:bottom w:val="none" w:sz="0" w:space="0" w:color="auto"/>
        <w:right w:val="none" w:sz="0" w:space="0" w:color="auto"/>
      </w:divBdr>
    </w:div>
    <w:div w:id="370691385">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391739419">
      <w:bodyDiv w:val="1"/>
      <w:marLeft w:val="0"/>
      <w:marRight w:val="0"/>
      <w:marTop w:val="0"/>
      <w:marBottom w:val="0"/>
      <w:divBdr>
        <w:top w:val="none" w:sz="0" w:space="0" w:color="auto"/>
        <w:left w:val="none" w:sz="0" w:space="0" w:color="auto"/>
        <w:bottom w:val="none" w:sz="0" w:space="0" w:color="auto"/>
        <w:right w:val="none" w:sz="0" w:space="0" w:color="auto"/>
      </w:divBdr>
    </w:div>
    <w:div w:id="409548143">
      <w:bodyDiv w:val="1"/>
      <w:marLeft w:val="0"/>
      <w:marRight w:val="0"/>
      <w:marTop w:val="0"/>
      <w:marBottom w:val="0"/>
      <w:divBdr>
        <w:top w:val="none" w:sz="0" w:space="0" w:color="auto"/>
        <w:left w:val="none" w:sz="0" w:space="0" w:color="auto"/>
        <w:bottom w:val="none" w:sz="0" w:space="0" w:color="auto"/>
        <w:right w:val="none" w:sz="0" w:space="0" w:color="auto"/>
      </w:divBdr>
    </w:div>
    <w:div w:id="436876430">
      <w:bodyDiv w:val="1"/>
      <w:marLeft w:val="0"/>
      <w:marRight w:val="0"/>
      <w:marTop w:val="0"/>
      <w:marBottom w:val="0"/>
      <w:divBdr>
        <w:top w:val="none" w:sz="0" w:space="0" w:color="auto"/>
        <w:left w:val="none" w:sz="0" w:space="0" w:color="auto"/>
        <w:bottom w:val="none" w:sz="0" w:space="0" w:color="auto"/>
        <w:right w:val="none" w:sz="0" w:space="0" w:color="auto"/>
      </w:divBdr>
    </w:div>
    <w:div w:id="460656083">
      <w:bodyDiv w:val="1"/>
      <w:marLeft w:val="0"/>
      <w:marRight w:val="0"/>
      <w:marTop w:val="0"/>
      <w:marBottom w:val="0"/>
      <w:divBdr>
        <w:top w:val="none" w:sz="0" w:space="0" w:color="auto"/>
        <w:left w:val="none" w:sz="0" w:space="0" w:color="auto"/>
        <w:bottom w:val="none" w:sz="0" w:space="0" w:color="auto"/>
        <w:right w:val="none" w:sz="0" w:space="0" w:color="auto"/>
      </w:divBdr>
      <w:divsChild>
        <w:div w:id="562759684">
          <w:marLeft w:val="0"/>
          <w:marRight w:val="0"/>
          <w:marTop w:val="0"/>
          <w:marBottom w:val="0"/>
          <w:divBdr>
            <w:top w:val="none" w:sz="0" w:space="0" w:color="auto"/>
            <w:left w:val="none" w:sz="0" w:space="0" w:color="auto"/>
            <w:bottom w:val="none" w:sz="0" w:space="0" w:color="auto"/>
            <w:right w:val="none" w:sz="0" w:space="0" w:color="auto"/>
          </w:divBdr>
        </w:div>
      </w:divsChild>
    </w:div>
    <w:div w:id="468479895">
      <w:bodyDiv w:val="1"/>
      <w:marLeft w:val="0"/>
      <w:marRight w:val="0"/>
      <w:marTop w:val="0"/>
      <w:marBottom w:val="0"/>
      <w:divBdr>
        <w:top w:val="none" w:sz="0" w:space="0" w:color="auto"/>
        <w:left w:val="none" w:sz="0" w:space="0" w:color="auto"/>
        <w:bottom w:val="none" w:sz="0" w:space="0" w:color="auto"/>
        <w:right w:val="none" w:sz="0" w:space="0" w:color="auto"/>
      </w:divBdr>
    </w:div>
    <w:div w:id="480774361">
      <w:bodyDiv w:val="1"/>
      <w:marLeft w:val="0"/>
      <w:marRight w:val="0"/>
      <w:marTop w:val="0"/>
      <w:marBottom w:val="0"/>
      <w:divBdr>
        <w:top w:val="none" w:sz="0" w:space="0" w:color="auto"/>
        <w:left w:val="none" w:sz="0" w:space="0" w:color="auto"/>
        <w:bottom w:val="none" w:sz="0" w:space="0" w:color="auto"/>
        <w:right w:val="none" w:sz="0" w:space="0" w:color="auto"/>
      </w:divBdr>
    </w:div>
    <w:div w:id="481778725">
      <w:bodyDiv w:val="1"/>
      <w:marLeft w:val="0"/>
      <w:marRight w:val="0"/>
      <w:marTop w:val="0"/>
      <w:marBottom w:val="0"/>
      <w:divBdr>
        <w:top w:val="none" w:sz="0" w:space="0" w:color="auto"/>
        <w:left w:val="none" w:sz="0" w:space="0" w:color="auto"/>
        <w:bottom w:val="none" w:sz="0" w:space="0" w:color="auto"/>
        <w:right w:val="none" w:sz="0" w:space="0" w:color="auto"/>
      </w:divBdr>
    </w:div>
    <w:div w:id="489253454">
      <w:bodyDiv w:val="1"/>
      <w:marLeft w:val="0"/>
      <w:marRight w:val="0"/>
      <w:marTop w:val="0"/>
      <w:marBottom w:val="0"/>
      <w:divBdr>
        <w:top w:val="none" w:sz="0" w:space="0" w:color="auto"/>
        <w:left w:val="none" w:sz="0" w:space="0" w:color="auto"/>
        <w:bottom w:val="none" w:sz="0" w:space="0" w:color="auto"/>
        <w:right w:val="none" w:sz="0" w:space="0" w:color="auto"/>
      </w:divBdr>
    </w:div>
    <w:div w:id="49795986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647764">
      <w:bodyDiv w:val="1"/>
      <w:marLeft w:val="0"/>
      <w:marRight w:val="0"/>
      <w:marTop w:val="0"/>
      <w:marBottom w:val="0"/>
      <w:divBdr>
        <w:top w:val="none" w:sz="0" w:space="0" w:color="auto"/>
        <w:left w:val="none" w:sz="0" w:space="0" w:color="auto"/>
        <w:bottom w:val="none" w:sz="0" w:space="0" w:color="auto"/>
        <w:right w:val="none" w:sz="0" w:space="0" w:color="auto"/>
      </w:divBdr>
      <w:divsChild>
        <w:div w:id="72514620">
          <w:marLeft w:val="0"/>
          <w:marRight w:val="0"/>
          <w:marTop w:val="0"/>
          <w:marBottom w:val="0"/>
          <w:divBdr>
            <w:top w:val="none" w:sz="0" w:space="0" w:color="auto"/>
            <w:left w:val="none" w:sz="0" w:space="0" w:color="auto"/>
            <w:bottom w:val="none" w:sz="0" w:space="0" w:color="auto"/>
            <w:right w:val="none" w:sz="0" w:space="0" w:color="auto"/>
          </w:divBdr>
        </w:div>
        <w:div w:id="747383491">
          <w:marLeft w:val="0"/>
          <w:marRight w:val="0"/>
          <w:marTop w:val="0"/>
          <w:marBottom w:val="0"/>
          <w:divBdr>
            <w:top w:val="none" w:sz="0" w:space="0" w:color="auto"/>
            <w:left w:val="none" w:sz="0" w:space="0" w:color="auto"/>
            <w:bottom w:val="none" w:sz="0" w:space="0" w:color="auto"/>
            <w:right w:val="none" w:sz="0" w:space="0" w:color="auto"/>
          </w:divBdr>
        </w:div>
      </w:divsChild>
    </w:div>
    <w:div w:id="59201533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0253785">
      <w:bodyDiv w:val="1"/>
      <w:marLeft w:val="0"/>
      <w:marRight w:val="0"/>
      <w:marTop w:val="0"/>
      <w:marBottom w:val="0"/>
      <w:divBdr>
        <w:top w:val="none" w:sz="0" w:space="0" w:color="auto"/>
        <w:left w:val="none" w:sz="0" w:space="0" w:color="auto"/>
        <w:bottom w:val="none" w:sz="0" w:space="0" w:color="auto"/>
        <w:right w:val="none" w:sz="0" w:space="0" w:color="auto"/>
      </w:divBdr>
    </w:div>
    <w:div w:id="652950086">
      <w:bodyDiv w:val="1"/>
      <w:marLeft w:val="0"/>
      <w:marRight w:val="0"/>
      <w:marTop w:val="0"/>
      <w:marBottom w:val="0"/>
      <w:divBdr>
        <w:top w:val="none" w:sz="0" w:space="0" w:color="auto"/>
        <w:left w:val="none" w:sz="0" w:space="0" w:color="auto"/>
        <w:bottom w:val="none" w:sz="0" w:space="0" w:color="auto"/>
        <w:right w:val="none" w:sz="0" w:space="0" w:color="auto"/>
      </w:divBdr>
    </w:div>
    <w:div w:id="676077655">
      <w:bodyDiv w:val="1"/>
      <w:marLeft w:val="0"/>
      <w:marRight w:val="0"/>
      <w:marTop w:val="0"/>
      <w:marBottom w:val="0"/>
      <w:divBdr>
        <w:top w:val="none" w:sz="0" w:space="0" w:color="auto"/>
        <w:left w:val="none" w:sz="0" w:space="0" w:color="auto"/>
        <w:bottom w:val="none" w:sz="0" w:space="0" w:color="auto"/>
        <w:right w:val="none" w:sz="0" w:space="0" w:color="auto"/>
      </w:divBdr>
    </w:div>
    <w:div w:id="696387787">
      <w:bodyDiv w:val="1"/>
      <w:marLeft w:val="0"/>
      <w:marRight w:val="0"/>
      <w:marTop w:val="0"/>
      <w:marBottom w:val="0"/>
      <w:divBdr>
        <w:top w:val="none" w:sz="0" w:space="0" w:color="auto"/>
        <w:left w:val="none" w:sz="0" w:space="0" w:color="auto"/>
        <w:bottom w:val="none" w:sz="0" w:space="0" w:color="auto"/>
        <w:right w:val="none" w:sz="0" w:space="0" w:color="auto"/>
      </w:divBdr>
    </w:div>
    <w:div w:id="76816470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703911">
      <w:bodyDiv w:val="1"/>
      <w:marLeft w:val="0"/>
      <w:marRight w:val="0"/>
      <w:marTop w:val="0"/>
      <w:marBottom w:val="0"/>
      <w:divBdr>
        <w:top w:val="none" w:sz="0" w:space="0" w:color="auto"/>
        <w:left w:val="none" w:sz="0" w:space="0" w:color="auto"/>
        <w:bottom w:val="none" w:sz="0" w:space="0" w:color="auto"/>
        <w:right w:val="none" w:sz="0" w:space="0" w:color="auto"/>
      </w:divBdr>
      <w:divsChild>
        <w:div w:id="125465329">
          <w:marLeft w:val="0"/>
          <w:marRight w:val="0"/>
          <w:marTop w:val="0"/>
          <w:marBottom w:val="0"/>
          <w:divBdr>
            <w:top w:val="none" w:sz="0" w:space="0" w:color="auto"/>
            <w:left w:val="none" w:sz="0" w:space="0" w:color="auto"/>
            <w:bottom w:val="none" w:sz="0" w:space="0" w:color="auto"/>
            <w:right w:val="none" w:sz="0" w:space="0" w:color="auto"/>
          </w:divBdr>
        </w:div>
        <w:div w:id="1499689019">
          <w:marLeft w:val="0"/>
          <w:marRight w:val="0"/>
          <w:marTop w:val="0"/>
          <w:marBottom w:val="0"/>
          <w:divBdr>
            <w:top w:val="none" w:sz="0" w:space="0" w:color="auto"/>
            <w:left w:val="none" w:sz="0" w:space="0" w:color="auto"/>
            <w:bottom w:val="none" w:sz="0" w:space="0" w:color="auto"/>
            <w:right w:val="none" w:sz="0" w:space="0" w:color="auto"/>
          </w:divBdr>
        </w:div>
      </w:divsChild>
    </w:div>
    <w:div w:id="863518986">
      <w:bodyDiv w:val="1"/>
      <w:marLeft w:val="0"/>
      <w:marRight w:val="0"/>
      <w:marTop w:val="0"/>
      <w:marBottom w:val="0"/>
      <w:divBdr>
        <w:top w:val="none" w:sz="0" w:space="0" w:color="auto"/>
        <w:left w:val="none" w:sz="0" w:space="0" w:color="auto"/>
        <w:bottom w:val="none" w:sz="0" w:space="0" w:color="auto"/>
        <w:right w:val="none" w:sz="0" w:space="0" w:color="auto"/>
      </w:divBdr>
    </w:div>
    <w:div w:id="943853059">
      <w:bodyDiv w:val="1"/>
      <w:marLeft w:val="0"/>
      <w:marRight w:val="0"/>
      <w:marTop w:val="0"/>
      <w:marBottom w:val="0"/>
      <w:divBdr>
        <w:top w:val="none" w:sz="0" w:space="0" w:color="auto"/>
        <w:left w:val="none" w:sz="0" w:space="0" w:color="auto"/>
        <w:bottom w:val="none" w:sz="0" w:space="0" w:color="auto"/>
        <w:right w:val="none" w:sz="0" w:space="0" w:color="auto"/>
      </w:divBdr>
    </w:div>
    <w:div w:id="945770028">
      <w:bodyDiv w:val="1"/>
      <w:marLeft w:val="0"/>
      <w:marRight w:val="0"/>
      <w:marTop w:val="0"/>
      <w:marBottom w:val="0"/>
      <w:divBdr>
        <w:top w:val="none" w:sz="0" w:space="0" w:color="auto"/>
        <w:left w:val="none" w:sz="0" w:space="0" w:color="auto"/>
        <w:bottom w:val="none" w:sz="0" w:space="0" w:color="auto"/>
        <w:right w:val="none" w:sz="0" w:space="0" w:color="auto"/>
      </w:divBdr>
    </w:div>
    <w:div w:id="953248941">
      <w:bodyDiv w:val="1"/>
      <w:marLeft w:val="0"/>
      <w:marRight w:val="0"/>
      <w:marTop w:val="0"/>
      <w:marBottom w:val="0"/>
      <w:divBdr>
        <w:top w:val="none" w:sz="0" w:space="0" w:color="auto"/>
        <w:left w:val="none" w:sz="0" w:space="0" w:color="auto"/>
        <w:bottom w:val="none" w:sz="0" w:space="0" w:color="auto"/>
        <w:right w:val="none" w:sz="0" w:space="0" w:color="auto"/>
      </w:divBdr>
    </w:div>
    <w:div w:id="955254798">
      <w:bodyDiv w:val="1"/>
      <w:marLeft w:val="0"/>
      <w:marRight w:val="0"/>
      <w:marTop w:val="0"/>
      <w:marBottom w:val="0"/>
      <w:divBdr>
        <w:top w:val="none" w:sz="0" w:space="0" w:color="auto"/>
        <w:left w:val="none" w:sz="0" w:space="0" w:color="auto"/>
        <w:bottom w:val="none" w:sz="0" w:space="0" w:color="auto"/>
        <w:right w:val="none" w:sz="0" w:space="0" w:color="auto"/>
      </w:divBdr>
      <w:divsChild>
        <w:div w:id="397287738">
          <w:marLeft w:val="0"/>
          <w:marRight w:val="0"/>
          <w:marTop w:val="0"/>
          <w:marBottom w:val="0"/>
          <w:divBdr>
            <w:top w:val="none" w:sz="0" w:space="0" w:color="auto"/>
            <w:left w:val="none" w:sz="0" w:space="0" w:color="auto"/>
            <w:bottom w:val="none" w:sz="0" w:space="0" w:color="auto"/>
            <w:right w:val="none" w:sz="0" w:space="0" w:color="auto"/>
          </w:divBdr>
        </w:div>
        <w:div w:id="689255703">
          <w:marLeft w:val="0"/>
          <w:marRight w:val="0"/>
          <w:marTop w:val="0"/>
          <w:marBottom w:val="0"/>
          <w:divBdr>
            <w:top w:val="none" w:sz="0" w:space="0" w:color="auto"/>
            <w:left w:val="none" w:sz="0" w:space="0" w:color="auto"/>
            <w:bottom w:val="none" w:sz="0" w:space="0" w:color="auto"/>
            <w:right w:val="none" w:sz="0" w:space="0" w:color="auto"/>
          </w:divBdr>
        </w:div>
      </w:divsChild>
    </w:div>
    <w:div w:id="974799512">
      <w:bodyDiv w:val="1"/>
      <w:marLeft w:val="0"/>
      <w:marRight w:val="0"/>
      <w:marTop w:val="0"/>
      <w:marBottom w:val="0"/>
      <w:divBdr>
        <w:top w:val="none" w:sz="0" w:space="0" w:color="auto"/>
        <w:left w:val="none" w:sz="0" w:space="0" w:color="auto"/>
        <w:bottom w:val="none" w:sz="0" w:space="0" w:color="auto"/>
        <w:right w:val="none" w:sz="0" w:space="0" w:color="auto"/>
      </w:divBdr>
    </w:div>
    <w:div w:id="1001006812">
      <w:bodyDiv w:val="1"/>
      <w:marLeft w:val="0"/>
      <w:marRight w:val="0"/>
      <w:marTop w:val="0"/>
      <w:marBottom w:val="0"/>
      <w:divBdr>
        <w:top w:val="none" w:sz="0" w:space="0" w:color="auto"/>
        <w:left w:val="none" w:sz="0" w:space="0" w:color="auto"/>
        <w:bottom w:val="none" w:sz="0" w:space="0" w:color="auto"/>
        <w:right w:val="none" w:sz="0" w:space="0" w:color="auto"/>
      </w:divBdr>
    </w:div>
    <w:div w:id="1030642778">
      <w:bodyDiv w:val="1"/>
      <w:marLeft w:val="0"/>
      <w:marRight w:val="0"/>
      <w:marTop w:val="0"/>
      <w:marBottom w:val="0"/>
      <w:divBdr>
        <w:top w:val="none" w:sz="0" w:space="0" w:color="auto"/>
        <w:left w:val="none" w:sz="0" w:space="0" w:color="auto"/>
        <w:bottom w:val="none" w:sz="0" w:space="0" w:color="auto"/>
        <w:right w:val="none" w:sz="0" w:space="0" w:color="auto"/>
      </w:divBdr>
      <w:divsChild>
        <w:div w:id="1580014665">
          <w:marLeft w:val="0"/>
          <w:marRight w:val="0"/>
          <w:marTop w:val="0"/>
          <w:marBottom w:val="0"/>
          <w:divBdr>
            <w:top w:val="none" w:sz="0" w:space="0" w:color="auto"/>
            <w:left w:val="none" w:sz="0" w:space="0" w:color="auto"/>
            <w:bottom w:val="none" w:sz="0" w:space="0" w:color="auto"/>
            <w:right w:val="none" w:sz="0" w:space="0" w:color="auto"/>
          </w:divBdr>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069033824">
      <w:bodyDiv w:val="1"/>
      <w:marLeft w:val="0"/>
      <w:marRight w:val="0"/>
      <w:marTop w:val="0"/>
      <w:marBottom w:val="0"/>
      <w:divBdr>
        <w:top w:val="none" w:sz="0" w:space="0" w:color="auto"/>
        <w:left w:val="none" w:sz="0" w:space="0" w:color="auto"/>
        <w:bottom w:val="none" w:sz="0" w:space="0" w:color="auto"/>
        <w:right w:val="none" w:sz="0" w:space="0" w:color="auto"/>
      </w:divBdr>
    </w:div>
    <w:div w:id="1079713218">
      <w:bodyDiv w:val="1"/>
      <w:marLeft w:val="0"/>
      <w:marRight w:val="0"/>
      <w:marTop w:val="0"/>
      <w:marBottom w:val="0"/>
      <w:divBdr>
        <w:top w:val="none" w:sz="0" w:space="0" w:color="auto"/>
        <w:left w:val="none" w:sz="0" w:space="0" w:color="auto"/>
        <w:bottom w:val="none" w:sz="0" w:space="0" w:color="auto"/>
        <w:right w:val="none" w:sz="0" w:space="0" w:color="auto"/>
      </w:divBdr>
    </w:div>
    <w:div w:id="1086463986">
      <w:bodyDiv w:val="1"/>
      <w:marLeft w:val="0"/>
      <w:marRight w:val="0"/>
      <w:marTop w:val="0"/>
      <w:marBottom w:val="0"/>
      <w:divBdr>
        <w:top w:val="none" w:sz="0" w:space="0" w:color="auto"/>
        <w:left w:val="none" w:sz="0" w:space="0" w:color="auto"/>
        <w:bottom w:val="none" w:sz="0" w:space="0" w:color="auto"/>
        <w:right w:val="none" w:sz="0" w:space="0" w:color="auto"/>
      </w:divBdr>
    </w:div>
    <w:div w:id="1105154726">
      <w:bodyDiv w:val="1"/>
      <w:marLeft w:val="0"/>
      <w:marRight w:val="0"/>
      <w:marTop w:val="0"/>
      <w:marBottom w:val="0"/>
      <w:divBdr>
        <w:top w:val="none" w:sz="0" w:space="0" w:color="auto"/>
        <w:left w:val="none" w:sz="0" w:space="0" w:color="auto"/>
        <w:bottom w:val="none" w:sz="0" w:space="0" w:color="auto"/>
        <w:right w:val="none" w:sz="0" w:space="0" w:color="auto"/>
      </w:divBdr>
    </w:div>
    <w:div w:id="1108698642">
      <w:bodyDiv w:val="1"/>
      <w:marLeft w:val="0"/>
      <w:marRight w:val="0"/>
      <w:marTop w:val="0"/>
      <w:marBottom w:val="0"/>
      <w:divBdr>
        <w:top w:val="none" w:sz="0" w:space="0" w:color="auto"/>
        <w:left w:val="none" w:sz="0" w:space="0" w:color="auto"/>
        <w:bottom w:val="none" w:sz="0" w:space="0" w:color="auto"/>
        <w:right w:val="none" w:sz="0" w:space="0" w:color="auto"/>
      </w:divBdr>
    </w:div>
    <w:div w:id="1129862335">
      <w:bodyDiv w:val="1"/>
      <w:marLeft w:val="0"/>
      <w:marRight w:val="0"/>
      <w:marTop w:val="0"/>
      <w:marBottom w:val="0"/>
      <w:divBdr>
        <w:top w:val="none" w:sz="0" w:space="0" w:color="auto"/>
        <w:left w:val="none" w:sz="0" w:space="0" w:color="auto"/>
        <w:bottom w:val="none" w:sz="0" w:space="0" w:color="auto"/>
        <w:right w:val="none" w:sz="0" w:space="0" w:color="auto"/>
      </w:divBdr>
    </w:div>
    <w:div w:id="1141577405">
      <w:bodyDiv w:val="1"/>
      <w:marLeft w:val="0"/>
      <w:marRight w:val="0"/>
      <w:marTop w:val="0"/>
      <w:marBottom w:val="0"/>
      <w:divBdr>
        <w:top w:val="none" w:sz="0" w:space="0" w:color="auto"/>
        <w:left w:val="none" w:sz="0" w:space="0" w:color="auto"/>
        <w:bottom w:val="none" w:sz="0" w:space="0" w:color="auto"/>
        <w:right w:val="none" w:sz="0" w:space="0" w:color="auto"/>
      </w:divBdr>
    </w:div>
    <w:div w:id="1148353412">
      <w:bodyDiv w:val="1"/>
      <w:marLeft w:val="0"/>
      <w:marRight w:val="0"/>
      <w:marTop w:val="0"/>
      <w:marBottom w:val="0"/>
      <w:divBdr>
        <w:top w:val="none" w:sz="0" w:space="0" w:color="auto"/>
        <w:left w:val="none" w:sz="0" w:space="0" w:color="auto"/>
        <w:bottom w:val="none" w:sz="0" w:space="0" w:color="auto"/>
        <w:right w:val="none" w:sz="0" w:space="0" w:color="auto"/>
      </w:divBdr>
    </w:div>
    <w:div w:id="1197542685">
      <w:bodyDiv w:val="1"/>
      <w:marLeft w:val="0"/>
      <w:marRight w:val="0"/>
      <w:marTop w:val="0"/>
      <w:marBottom w:val="0"/>
      <w:divBdr>
        <w:top w:val="none" w:sz="0" w:space="0" w:color="auto"/>
        <w:left w:val="none" w:sz="0" w:space="0" w:color="auto"/>
        <w:bottom w:val="none" w:sz="0" w:space="0" w:color="auto"/>
        <w:right w:val="none" w:sz="0" w:space="0" w:color="auto"/>
      </w:divBdr>
      <w:divsChild>
        <w:div w:id="691222865">
          <w:marLeft w:val="0"/>
          <w:marRight w:val="0"/>
          <w:marTop w:val="0"/>
          <w:marBottom w:val="0"/>
          <w:divBdr>
            <w:top w:val="none" w:sz="0" w:space="0" w:color="auto"/>
            <w:left w:val="none" w:sz="0" w:space="0" w:color="auto"/>
            <w:bottom w:val="none" w:sz="0" w:space="0" w:color="auto"/>
            <w:right w:val="none" w:sz="0" w:space="0" w:color="auto"/>
          </w:divBdr>
        </w:div>
        <w:div w:id="1778787326">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565257">
      <w:bodyDiv w:val="1"/>
      <w:marLeft w:val="0"/>
      <w:marRight w:val="0"/>
      <w:marTop w:val="0"/>
      <w:marBottom w:val="0"/>
      <w:divBdr>
        <w:top w:val="none" w:sz="0" w:space="0" w:color="auto"/>
        <w:left w:val="none" w:sz="0" w:space="0" w:color="auto"/>
        <w:bottom w:val="none" w:sz="0" w:space="0" w:color="auto"/>
        <w:right w:val="none" w:sz="0" w:space="0" w:color="auto"/>
      </w:divBdr>
    </w:div>
    <w:div w:id="1267889265">
      <w:bodyDiv w:val="1"/>
      <w:marLeft w:val="0"/>
      <w:marRight w:val="0"/>
      <w:marTop w:val="0"/>
      <w:marBottom w:val="0"/>
      <w:divBdr>
        <w:top w:val="none" w:sz="0" w:space="0" w:color="auto"/>
        <w:left w:val="none" w:sz="0" w:space="0" w:color="auto"/>
        <w:bottom w:val="none" w:sz="0" w:space="0" w:color="auto"/>
        <w:right w:val="none" w:sz="0" w:space="0" w:color="auto"/>
      </w:divBdr>
    </w:div>
    <w:div w:id="1376346458">
      <w:bodyDiv w:val="1"/>
      <w:marLeft w:val="0"/>
      <w:marRight w:val="0"/>
      <w:marTop w:val="0"/>
      <w:marBottom w:val="0"/>
      <w:divBdr>
        <w:top w:val="none" w:sz="0" w:space="0" w:color="auto"/>
        <w:left w:val="none" w:sz="0" w:space="0" w:color="auto"/>
        <w:bottom w:val="none" w:sz="0" w:space="0" w:color="auto"/>
        <w:right w:val="none" w:sz="0" w:space="0" w:color="auto"/>
      </w:divBdr>
      <w:divsChild>
        <w:div w:id="1881548978">
          <w:marLeft w:val="0"/>
          <w:marRight w:val="0"/>
          <w:marTop w:val="0"/>
          <w:marBottom w:val="0"/>
          <w:divBdr>
            <w:top w:val="none" w:sz="0" w:space="0" w:color="auto"/>
            <w:left w:val="none" w:sz="0" w:space="0" w:color="auto"/>
            <w:bottom w:val="none" w:sz="0" w:space="0" w:color="auto"/>
            <w:right w:val="none" w:sz="0" w:space="0" w:color="auto"/>
          </w:divBdr>
        </w:div>
      </w:divsChild>
    </w:div>
    <w:div w:id="1378701862">
      <w:bodyDiv w:val="1"/>
      <w:marLeft w:val="0"/>
      <w:marRight w:val="0"/>
      <w:marTop w:val="0"/>
      <w:marBottom w:val="0"/>
      <w:divBdr>
        <w:top w:val="none" w:sz="0" w:space="0" w:color="auto"/>
        <w:left w:val="none" w:sz="0" w:space="0" w:color="auto"/>
        <w:bottom w:val="none" w:sz="0" w:space="0" w:color="auto"/>
        <w:right w:val="none" w:sz="0" w:space="0" w:color="auto"/>
      </w:divBdr>
      <w:divsChild>
        <w:div w:id="642975760">
          <w:marLeft w:val="0"/>
          <w:marRight w:val="0"/>
          <w:marTop w:val="0"/>
          <w:marBottom w:val="0"/>
          <w:divBdr>
            <w:top w:val="none" w:sz="0" w:space="0" w:color="auto"/>
            <w:left w:val="none" w:sz="0" w:space="0" w:color="auto"/>
            <w:bottom w:val="none" w:sz="0" w:space="0" w:color="auto"/>
            <w:right w:val="none" w:sz="0" w:space="0" w:color="auto"/>
          </w:divBdr>
        </w:div>
      </w:divsChild>
    </w:div>
    <w:div w:id="1409688953">
      <w:bodyDiv w:val="1"/>
      <w:marLeft w:val="0"/>
      <w:marRight w:val="0"/>
      <w:marTop w:val="0"/>
      <w:marBottom w:val="0"/>
      <w:divBdr>
        <w:top w:val="none" w:sz="0" w:space="0" w:color="auto"/>
        <w:left w:val="none" w:sz="0" w:space="0" w:color="auto"/>
        <w:bottom w:val="none" w:sz="0" w:space="0" w:color="auto"/>
        <w:right w:val="none" w:sz="0" w:space="0" w:color="auto"/>
      </w:divBdr>
    </w:div>
    <w:div w:id="1466318658">
      <w:bodyDiv w:val="1"/>
      <w:marLeft w:val="0"/>
      <w:marRight w:val="0"/>
      <w:marTop w:val="0"/>
      <w:marBottom w:val="0"/>
      <w:divBdr>
        <w:top w:val="none" w:sz="0" w:space="0" w:color="auto"/>
        <w:left w:val="none" w:sz="0" w:space="0" w:color="auto"/>
        <w:bottom w:val="none" w:sz="0" w:space="0" w:color="auto"/>
        <w:right w:val="none" w:sz="0" w:space="0" w:color="auto"/>
      </w:divBdr>
    </w:div>
    <w:div w:id="1471357990">
      <w:bodyDiv w:val="1"/>
      <w:marLeft w:val="0"/>
      <w:marRight w:val="0"/>
      <w:marTop w:val="0"/>
      <w:marBottom w:val="0"/>
      <w:divBdr>
        <w:top w:val="none" w:sz="0" w:space="0" w:color="auto"/>
        <w:left w:val="none" w:sz="0" w:space="0" w:color="auto"/>
        <w:bottom w:val="none" w:sz="0" w:space="0" w:color="auto"/>
        <w:right w:val="none" w:sz="0" w:space="0" w:color="auto"/>
      </w:divBdr>
      <w:divsChild>
        <w:div w:id="666127734">
          <w:marLeft w:val="0"/>
          <w:marRight w:val="0"/>
          <w:marTop w:val="0"/>
          <w:marBottom w:val="0"/>
          <w:divBdr>
            <w:top w:val="none" w:sz="0" w:space="0" w:color="auto"/>
            <w:left w:val="none" w:sz="0" w:space="0" w:color="auto"/>
            <w:bottom w:val="none" w:sz="0" w:space="0" w:color="auto"/>
            <w:right w:val="none" w:sz="0" w:space="0" w:color="auto"/>
          </w:divBdr>
        </w:div>
      </w:divsChild>
    </w:div>
    <w:div w:id="1527716279">
      <w:bodyDiv w:val="1"/>
      <w:marLeft w:val="0"/>
      <w:marRight w:val="0"/>
      <w:marTop w:val="0"/>
      <w:marBottom w:val="0"/>
      <w:divBdr>
        <w:top w:val="none" w:sz="0" w:space="0" w:color="auto"/>
        <w:left w:val="none" w:sz="0" w:space="0" w:color="auto"/>
        <w:bottom w:val="none" w:sz="0" w:space="0" w:color="auto"/>
        <w:right w:val="none" w:sz="0" w:space="0" w:color="auto"/>
      </w:divBdr>
      <w:divsChild>
        <w:div w:id="1206676536">
          <w:marLeft w:val="0"/>
          <w:marRight w:val="0"/>
          <w:marTop w:val="0"/>
          <w:marBottom w:val="0"/>
          <w:divBdr>
            <w:top w:val="none" w:sz="0" w:space="0" w:color="auto"/>
            <w:left w:val="none" w:sz="0" w:space="0" w:color="auto"/>
            <w:bottom w:val="none" w:sz="0" w:space="0" w:color="auto"/>
            <w:right w:val="none" w:sz="0" w:space="0" w:color="auto"/>
          </w:divBdr>
        </w:div>
        <w:div w:id="1461611793">
          <w:marLeft w:val="0"/>
          <w:marRight w:val="0"/>
          <w:marTop w:val="0"/>
          <w:marBottom w:val="0"/>
          <w:divBdr>
            <w:top w:val="none" w:sz="0" w:space="0" w:color="auto"/>
            <w:left w:val="none" w:sz="0" w:space="0" w:color="auto"/>
            <w:bottom w:val="none" w:sz="0" w:space="0" w:color="auto"/>
            <w:right w:val="none" w:sz="0" w:space="0" w:color="auto"/>
          </w:divBdr>
        </w:div>
      </w:divsChild>
    </w:div>
    <w:div w:id="1531913281">
      <w:bodyDiv w:val="1"/>
      <w:marLeft w:val="0"/>
      <w:marRight w:val="0"/>
      <w:marTop w:val="0"/>
      <w:marBottom w:val="0"/>
      <w:divBdr>
        <w:top w:val="none" w:sz="0" w:space="0" w:color="auto"/>
        <w:left w:val="none" w:sz="0" w:space="0" w:color="auto"/>
        <w:bottom w:val="none" w:sz="0" w:space="0" w:color="auto"/>
        <w:right w:val="none" w:sz="0" w:space="0" w:color="auto"/>
      </w:divBdr>
    </w:div>
    <w:div w:id="1544749421">
      <w:bodyDiv w:val="1"/>
      <w:marLeft w:val="0"/>
      <w:marRight w:val="0"/>
      <w:marTop w:val="0"/>
      <w:marBottom w:val="0"/>
      <w:divBdr>
        <w:top w:val="none" w:sz="0" w:space="0" w:color="auto"/>
        <w:left w:val="none" w:sz="0" w:space="0" w:color="auto"/>
        <w:bottom w:val="none" w:sz="0" w:space="0" w:color="auto"/>
        <w:right w:val="none" w:sz="0" w:space="0" w:color="auto"/>
      </w:divBdr>
    </w:div>
    <w:div w:id="1601718014">
      <w:bodyDiv w:val="1"/>
      <w:marLeft w:val="0"/>
      <w:marRight w:val="0"/>
      <w:marTop w:val="0"/>
      <w:marBottom w:val="0"/>
      <w:divBdr>
        <w:top w:val="none" w:sz="0" w:space="0" w:color="auto"/>
        <w:left w:val="none" w:sz="0" w:space="0" w:color="auto"/>
        <w:bottom w:val="none" w:sz="0" w:space="0" w:color="auto"/>
        <w:right w:val="none" w:sz="0" w:space="0" w:color="auto"/>
      </w:divBdr>
    </w:div>
    <w:div w:id="1674605316">
      <w:bodyDiv w:val="1"/>
      <w:marLeft w:val="0"/>
      <w:marRight w:val="0"/>
      <w:marTop w:val="0"/>
      <w:marBottom w:val="0"/>
      <w:divBdr>
        <w:top w:val="none" w:sz="0" w:space="0" w:color="auto"/>
        <w:left w:val="none" w:sz="0" w:space="0" w:color="auto"/>
        <w:bottom w:val="none" w:sz="0" w:space="0" w:color="auto"/>
        <w:right w:val="none" w:sz="0" w:space="0" w:color="auto"/>
      </w:divBdr>
    </w:div>
    <w:div w:id="1691567396">
      <w:bodyDiv w:val="1"/>
      <w:marLeft w:val="0"/>
      <w:marRight w:val="0"/>
      <w:marTop w:val="0"/>
      <w:marBottom w:val="0"/>
      <w:divBdr>
        <w:top w:val="none" w:sz="0" w:space="0" w:color="auto"/>
        <w:left w:val="none" w:sz="0" w:space="0" w:color="auto"/>
        <w:bottom w:val="none" w:sz="0" w:space="0" w:color="auto"/>
        <w:right w:val="none" w:sz="0" w:space="0" w:color="auto"/>
      </w:divBdr>
    </w:div>
    <w:div w:id="170112407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18761433">
      <w:bodyDiv w:val="1"/>
      <w:marLeft w:val="0"/>
      <w:marRight w:val="0"/>
      <w:marTop w:val="0"/>
      <w:marBottom w:val="0"/>
      <w:divBdr>
        <w:top w:val="none" w:sz="0" w:space="0" w:color="auto"/>
        <w:left w:val="none" w:sz="0" w:space="0" w:color="auto"/>
        <w:bottom w:val="none" w:sz="0" w:space="0" w:color="auto"/>
        <w:right w:val="none" w:sz="0" w:space="0" w:color="auto"/>
      </w:divBdr>
      <w:divsChild>
        <w:div w:id="698550989">
          <w:marLeft w:val="0"/>
          <w:marRight w:val="0"/>
          <w:marTop w:val="0"/>
          <w:marBottom w:val="0"/>
          <w:divBdr>
            <w:top w:val="none" w:sz="0" w:space="0" w:color="auto"/>
            <w:left w:val="none" w:sz="0" w:space="0" w:color="auto"/>
            <w:bottom w:val="none" w:sz="0" w:space="0" w:color="auto"/>
            <w:right w:val="none" w:sz="0" w:space="0" w:color="auto"/>
          </w:divBdr>
        </w:div>
      </w:divsChild>
    </w:div>
    <w:div w:id="1823813691">
      <w:bodyDiv w:val="1"/>
      <w:marLeft w:val="0"/>
      <w:marRight w:val="0"/>
      <w:marTop w:val="0"/>
      <w:marBottom w:val="0"/>
      <w:divBdr>
        <w:top w:val="none" w:sz="0" w:space="0" w:color="auto"/>
        <w:left w:val="none" w:sz="0" w:space="0" w:color="auto"/>
        <w:bottom w:val="none" w:sz="0" w:space="0" w:color="auto"/>
        <w:right w:val="none" w:sz="0" w:space="0" w:color="auto"/>
      </w:divBdr>
    </w:div>
    <w:div w:id="1971397873">
      <w:bodyDiv w:val="1"/>
      <w:marLeft w:val="0"/>
      <w:marRight w:val="0"/>
      <w:marTop w:val="0"/>
      <w:marBottom w:val="0"/>
      <w:divBdr>
        <w:top w:val="none" w:sz="0" w:space="0" w:color="auto"/>
        <w:left w:val="none" w:sz="0" w:space="0" w:color="auto"/>
        <w:bottom w:val="none" w:sz="0" w:space="0" w:color="auto"/>
        <w:right w:val="none" w:sz="0" w:space="0" w:color="auto"/>
      </w:divBdr>
    </w:div>
    <w:div w:id="201460159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707127">
      <w:bodyDiv w:val="1"/>
      <w:marLeft w:val="0"/>
      <w:marRight w:val="0"/>
      <w:marTop w:val="0"/>
      <w:marBottom w:val="0"/>
      <w:divBdr>
        <w:top w:val="none" w:sz="0" w:space="0" w:color="auto"/>
        <w:left w:val="none" w:sz="0" w:space="0" w:color="auto"/>
        <w:bottom w:val="none" w:sz="0" w:space="0" w:color="auto"/>
        <w:right w:val="none" w:sz="0" w:space="0" w:color="auto"/>
      </w:divBdr>
      <w:divsChild>
        <w:div w:id="1795521693">
          <w:marLeft w:val="0"/>
          <w:marRight w:val="0"/>
          <w:marTop w:val="0"/>
          <w:marBottom w:val="0"/>
          <w:divBdr>
            <w:top w:val="none" w:sz="0" w:space="0" w:color="auto"/>
            <w:left w:val="none" w:sz="0" w:space="0" w:color="auto"/>
            <w:bottom w:val="none" w:sz="0" w:space="0" w:color="auto"/>
            <w:right w:val="none" w:sz="0" w:space="0" w:color="auto"/>
          </w:divBdr>
        </w:div>
        <w:div w:id="814175465">
          <w:marLeft w:val="0"/>
          <w:marRight w:val="0"/>
          <w:marTop w:val="0"/>
          <w:marBottom w:val="0"/>
          <w:divBdr>
            <w:top w:val="none" w:sz="0" w:space="0" w:color="auto"/>
            <w:left w:val="none" w:sz="0" w:space="0" w:color="auto"/>
            <w:bottom w:val="none" w:sz="0" w:space="0" w:color="auto"/>
            <w:right w:val="none" w:sz="0" w:space="0" w:color="auto"/>
          </w:divBdr>
        </w:div>
      </w:divsChild>
    </w:div>
    <w:div w:id="2116944659">
      <w:bodyDiv w:val="1"/>
      <w:marLeft w:val="0"/>
      <w:marRight w:val="0"/>
      <w:marTop w:val="0"/>
      <w:marBottom w:val="0"/>
      <w:divBdr>
        <w:top w:val="none" w:sz="0" w:space="0" w:color="auto"/>
        <w:left w:val="none" w:sz="0" w:space="0" w:color="auto"/>
        <w:bottom w:val="none" w:sz="0" w:space="0" w:color="auto"/>
        <w:right w:val="none" w:sz="0" w:space="0" w:color="auto"/>
      </w:divBdr>
    </w:div>
    <w:div w:id="2139646632">
      <w:bodyDiv w:val="1"/>
      <w:marLeft w:val="0"/>
      <w:marRight w:val="0"/>
      <w:marTop w:val="0"/>
      <w:marBottom w:val="0"/>
      <w:divBdr>
        <w:top w:val="none" w:sz="0" w:space="0" w:color="auto"/>
        <w:left w:val="none" w:sz="0" w:space="0" w:color="auto"/>
        <w:bottom w:val="none" w:sz="0" w:space="0" w:color="auto"/>
        <w:right w:val="none" w:sz="0" w:space="0" w:color="auto"/>
      </w:divBdr>
      <w:divsChild>
        <w:div w:id="83918840">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711164218/https://www.minambiente.gov.co/wp-content/uploads/2021/06/ley-1931-20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roperties xmlns="http://www.imanage.com/work/xmlschema">
  <documentid>NORTHLATAM!11711194.1</documentid>
  <senderid>JUAN.FELIPE.TABOADA</senderid>
  <senderemail>JUAN.FELIPE.TABOADA@GARRIGUES.COM</senderemail>
  <lastmodified>2025-07-10T20:23:00.0000000-05:00</lastmodified>
  <database>NORTHLATAM</database>
</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E448D709-B347-4802-A6CB-D0861FDD21EC}">
  <ds:schemaRefs>
    <ds:schemaRef ds:uri="http://www.imanage.com/work/xmlschema"/>
  </ds:schemaRefs>
</ds:datastoreItem>
</file>

<file path=customXml/itemProps4.xml><?xml version="1.0" encoding="utf-8"?>
<ds:datastoreItem xmlns:ds="http://schemas.openxmlformats.org/officeDocument/2006/customXml" ds:itemID="{F99642E2-EEDF-4070-921E-F9A12F78CF2A}"/>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121</Pages>
  <Words>27278</Words>
  <Characters>161764</Characters>
  <Application>Microsoft Office Word</Application>
  <DocSecurity>0</DocSecurity>
  <Lines>8513</Lines>
  <Paragraphs>5109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3</cp:revision>
  <cp:lastPrinted>2025-03-21T00:14:00Z</cp:lastPrinted>
  <dcterms:created xsi:type="dcterms:W3CDTF">2025-07-11T01:23:00Z</dcterms:created>
  <dcterms:modified xsi:type="dcterms:W3CDTF">2025-07-11T16:48:00Z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